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color w:val="auto"/>
          <w:highlight w:val="none"/>
        </w:rPr>
      </w:pPr>
    </w:p>
    <w:p>
      <w:pPr>
        <w:bidi w:val="0"/>
        <w:rPr>
          <w:color w:val="auto"/>
          <w:highlight w:val="none"/>
        </w:rPr>
      </w:pPr>
    </w:p>
    <w:p>
      <w:pPr>
        <w:bidi w:val="0"/>
        <w:rPr>
          <w:color w:val="auto"/>
          <w:highlight w:val="none"/>
        </w:rPr>
      </w:pPr>
    </w:p>
    <w:p>
      <w:pPr>
        <w:bidi w:val="0"/>
        <w:rPr>
          <w:color w:val="auto"/>
          <w:highlight w:val="none"/>
        </w:rPr>
      </w:pPr>
    </w:p>
    <w:p>
      <w:pPr>
        <w:bidi w:val="0"/>
        <w:rPr>
          <w:color w:val="auto"/>
          <w:highlight w:val="none"/>
        </w:rPr>
      </w:pPr>
    </w:p>
    <w:p>
      <w:pPr>
        <w:pStyle w:val="3"/>
        <w:bidi w:val="0"/>
        <w:rPr>
          <w:color w:val="auto"/>
          <w:sz w:val="44"/>
          <w:szCs w:val="44"/>
          <w:highlight w:val="none"/>
        </w:rPr>
      </w:pPr>
      <w:r>
        <w:rPr>
          <w:color w:val="auto"/>
          <w:sz w:val="44"/>
          <w:szCs w:val="44"/>
          <w:highlight w:val="none"/>
        </w:rPr>
        <w:t>项目支出绩效评价报告</w:t>
      </w:r>
    </w:p>
    <w:p>
      <w:pPr>
        <w:ind w:firstLine="640"/>
        <w:rPr>
          <w:color w:val="auto"/>
          <w:highlight w:val="none"/>
        </w:rPr>
      </w:pPr>
    </w:p>
    <w:p>
      <w:pPr>
        <w:ind w:firstLine="640"/>
        <w:rPr>
          <w:color w:val="auto"/>
          <w:highlight w:val="none"/>
        </w:rPr>
      </w:pPr>
    </w:p>
    <w:p>
      <w:pPr>
        <w:pStyle w:val="13"/>
        <w:bidi w:val="0"/>
        <w:rPr>
          <w:color w:val="auto"/>
          <w:sz w:val="28"/>
          <w:szCs w:val="28"/>
          <w:highlight w:val="none"/>
        </w:rPr>
      </w:pPr>
      <w:r>
        <w:rPr>
          <w:color w:val="auto"/>
          <w:sz w:val="28"/>
          <w:szCs w:val="28"/>
          <w:highlight w:val="none"/>
        </w:rPr>
        <w:t>（</w:t>
      </w:r>
      <w:r>
        <w:rPr>
          <w:rFonts w:ascii="Times New Roman" w:hAnsi="Times New Roman"/>
          <w:color w:val="auto"/>
          <w:sz w:val="28"/>
          <w:szCs w:val="28"/>
          <w:highlight w:val="none"/>
        </w:rPr>
        <w:t>20</w:t>
      </w:r>
      <w:r>
        <w:rPr>
          <w:rFonts w:hint="eastAsia"/>
          <w:color w:val="auto"/>
          <w:sz w:val="28"/>
          <w:szCs w:val="28"/>
          <w:highlight w:val="none"/>
          <w:lang w:val="en-US" w:eastAsia="zh-CN"/>
        </w:rPr>
        <w:t>23</w:t>
      </w:r>
      <w:r>
        <w:rPr>
          <w:color w:val="auto"/>
          <w:sz w:val="28"/>
          <w:szCs w:val="28"/>
          <w:highlight w:val="none"/>
        </w:rPr>
        <w:t>年度）</w:t>
      </w:r>
    </w:p>
    <w:p>
      <w:pPr>
        <w:ind w:firstLine="640"/>
        <w:rPr>
          <w:color w:val="auto"/>
          <w:highlight w:val="none"/>
        </w:rPr>
      </w:pPr>
    </w:p>
    <w:p>
      <w:pPr>
        <w:ind w:firstLine="640"/>
        <w:rPr>
          <w:color w:val="auto"/>
          <w:highlight w:val="none"/>
        </w:rPr>
      </w:pPr>
    </w:p>
    <w:p>
      <w:pPr>
        <w:ind w:firstLine="640"/>
        <w:rPr>
          <w:color w:val="auto"/>
          <w:highlight w:val="none"/>
        </w:rPr>
      </w:pPr>
    </w:p>
    <w:p>
      <w:pPr>
        <w:bidi w:val="0"/>
        <w:rPr>
          <w:color w:val="auto"/>
          <w:highlight w:val="none"/>
        </w:rPr>
      </w:pPr>
    </w:p>
    <w:p>
      <w:pPr>
        <w:bidi w:val="0"/>
        <w:rPr>
          <w:color w:val="auto"/>
          <w:highlight w:val="none"/>
        </w:rPr>
      </w:pPr>
    </w:p>
    <w:p>
      <w:pPr>
        <w:bidi w:val="0"/>
        <w:rPr>
          <w:rFonts w:hint="eastAsia" w:eastAsia="仿宋_GB2312"/>
          <w:color w:val="auto"/>
          <w:highlight w:val="none"/>
          <w:lang w:val="en-US" w:eastAsia="zh-CN"/>
        </w:rPr>
      </w:pPr>
      <w:r>
        <w:rPr>
          <w:color w:val="auto"/>
          <w:highlight w:val="none"/>
        </w:rPr>
        <w:t>项目名称：</w:t>
      </w:r>
      <w:r>
        <w:rPr>
          <w:rFonts w:hint="eastAsia"/>
          <w:color w:val="auto"/>
          <w:highlight w:val="none"/>
          <w:lang w:eastAsia="zh-CN"/>
        </w:rPr>
        <w:t>草原生态保护补助奖励资金</w:t>
      </w:r>
    </w:p>
    <w:p>
      <w:pPr>
        <w:bidi w:val="0"/>
        <w:rPr>
          <w:color w:val="auto"/>
          <w:highlight w:val="none"/>
        </w:rPr>
      </w:pPr>
      <w:r>
        <w:rPr>
          <w:color w:val="auto"/>
          <w:highlight w:val="none"/>
        </w:rPr>
        <w:t>实施单位（公章）：</w:t>
      </w:r>
      <w:r>
        <w:rPr>
          <w:rFonts w:hint="eastAsia"/>
          <w:color w:val="auto"/>
          <w:highlight w:val="none"/>
          <w:lang w:eastAsia="zh-CN"/>
        </w:rPr>
        <w:t>尉犁县林业和草原局</w:t>
      </w:r>
    </w:p>
    <w:p>
      <w:pPr>
        <w:bidi w:val="0"/>
        <w:rPr>
          <w:color w:val="auto"/>
          <w:highlight w:val="none"/>
        </w:rPr>
      </w:pPr>
      <w:r>
        <w:rPr>
          <w:color w:val="auto"/>
          <w:highlight w:val="none"/>
        </w:rPr>
        <w:t>主管部门（公章）：</w:t>
      </w:r>
      <w:r>
        <w:rPr>
          <w:rFonts w:hint="eastAsia"/>
          <w:color w:val="auto"/>
          <w:highlight w:val="none"/>
          <w:lang w:eastAsia="zh-CN"/>
        </w:rPr>
        <w:t>尉犁县林业和草原局</w:t>
      </w:r>
    </w:p>
    <w:p>
      <w:pPr>
        <w:bidi w:val="0"/>
        <w:rPr>
          <w:color w:val="auto"/>
          <w:highlight w:val="none"/>
        </w:rPr>
      </w:pPr>
      <w:r>
        <w:rPr>
          <w:color w:val="auto"/>
          <w:highlight w:val="none"/>
        </w:rPr>
        <w:t>项目负责人（签章）：</w:t>
      </w:r>
      <w:r>
        <w:rPr>
          <w:rFonts w:hint="eastAsia"/>
          <w:color w:val="auto"/>
          <w:highlight w:val="none"/>
          <w:lang w:val="en-US" w:eastAsia="zh-CN"/>
        </w:rPr>
        <w:t>吐尔逊江·巴拉提</w:t>
      </w:r>
    </w:p>
    <w:p>
      <w:pPr>
        <w:bidi w:val="0"/>
        <w:rPr>
          <w:color w:val="auto"/>
          <w:highlight w:val="none"/>
        </w:rPr>
      </w:pPr>
      <w:r>
        <w:rPr>
          <w:color w:val="auto"/>
          <w:highlight w:val="none"/>
        </w:rPr>
        <w:t>填报时间：</w:t>
      </w:r>
      <w:r>
        <w:rPr>
          <w:rFonts w:hint="eastAsia" w:ascii="Times New Roman" w:hAnsi="Times New Roman"/>
          <w:color w:val="auto"/>
          <w:highlight w:val="none"/>
          <w:lang w:val="en-US" w:eastAsia="zh-CN"/>
        </w:rPr>
        <w:t>202</w:t>
      </w:r>
      <w:r>
        <w:rPr>
          <w:rFonts w:hint="eastAsia"/>
          <w:color w:val="auto"/>
          <w:highlight w:val="none"/>
          <w:lang w:val="en-US" w:eastAsia="zh-CN"/>
        </w:rPr>
        <w:t>4</w:t>
      </w:r>
      <w:r>
        <w:rPr>
          <w:color w:val="auto"/>
          <w:highlight w:val="none"/>
        </w:rPr>
        <w:t>年</w:t>
      </w:r>
      <w:r>
        <w:rPr>
          <w:rFonts w:hint="eastAsia"/>
          <w:color w:val="auto"/>
          <w:highlight w:val="none"/>
          <w:lang w:val="en-US" w:eastAsia="zh-CN"/>
        </w:rPr>
        <w:t>3</w:t>
      </w:r>
      <w:r>
        <w:rPr>
          <w:color w:val="auto"/>
          <w:highlight w:val="none"/>
        </w:rPr>
        <w:t>月</w:t>
      </w:r>
      <w:r>
        <w:rPr>
          <w:rFonts w:hint="eastAsia"/>
          <w:color w:val="auto"/>
          <w:highlight w:val="none"/>
          <w:lang w:val="en-US" w:eastAsia="zh-CN"/>
        </w:rPr>
        <w:t>1</w:t>
      </w:r>
      <w:r>
        <w:rPr>
          <w:rFonts w:hint="eastAsia" w:ascii="Times New Roman" w:hAnsi="Times New Roman"/>
          <w:color w:val="auto"/>
          <w:highlight w:val="none"/>
          <w:lang w:val="en-US" w:eastAsia="zh-CN"/>
        </w:rPr>
        <w:t>4</w:t>
      </w:r>
      <w:r>
        <w:rPr>
          <w:color w:val="auto"/>
          <w:highlight w:val="none"/>
        </w:rPr>
        <w:t>日</w:t>
      </w:r>
    </w:p>
    <w:p>
      <w:pPr>
        <w:ind w:firstLine="620"/>
        <w:rPr>
          <w:rFonts w:eastAsia="方正仿宋_GBK"/>
          <w:color w:val="auto"/>
          <w:sz w:val="31"/>
          <w:szCs w:val="31"/>
          <w:highlight w:val="none"/>
        </w:rPr>
      </w:pPr>
      <w:r>
        <w:rPr>
          <w:rFonts w:eastAsia="方正仿宋_GBK"/>
          <w:color w:val="auto"/>
          <w:sz w:val="31"/>
          <w:szCs w:val="31"/>
          <w:highlight w:val="none"/>
        </w:rPr>
        <w:br w:type="page"/>
      </w:r>
    </w:p>
    <w:p>
      <w:pPr>
        <w:ind w:firstLine="883"/>
        <w:jc w:val="center"/>
        <w:rPr>
          <w:b/>
          <w:bCs/>
          <w:color w:val="auto"/>
          <w:sz w:val="44"/>
          <w:szCs w:val="44"/>
          <w:highlight w:val="none"/>
        </w:rPr>
      </w:pPr>
      <w:r>
        <w:rPr>
          <w:b/>
          <w:bCs/>
          <w:color w:val="auto"/>
          <w:sz w:val="44"/>
          <w:szCs w:val="44"/>
          <w:highlight w:val="none"/>
        </w:rPr>
        <w:t>目  录</w:t>
      </w:r>
    </w:p>
    <w:p>
      <w:pPr>
        <w:ind w:firstLine="640"/>
        <w:rPr>
          <w:color w:val="auto"/>
          <w:highlight w:val="none"/>
        </w:rPr>
      </w:pPr>
    </w:p>
    <w:p>
      <w:pPr>
        <w:tabs>
          <w:tab w:val="right" w:leader="dot" w:pos="8306"/>
        </w:tabs>
        <w:ind w:firstLine="883"/>
        <w:rPr>
          <w:color w:val="auto"/>
          <w:highlight w:val="none"/>
        </w:rPr>
      </w:pPr>
      <w:r>
        <w:rPr>
          <w:rFonts w:eastAsia="黑体"/>
          <w:b/>
          <w:bCs/>
          <w:color w:val="auto"/>
          <w:sz w:val="44"/>
          <w:szCs w:val="44"/>
          <w:highlight w:val="none"/>
        </w:rPr>
        <w:fldChar w:fldCharType="begin"/>
      </w:r>
      <w:r>
        <w:rPr>
          <w:rFonts w:eastAsia="黑体"/>
          <w:b/>
          <w:bCs/>
          <w:color w:val="auto"/>
          <w:sz w:val="44"/>
          <w:szCs w:val="44"/>
          <w:highlight w:val="none"/>
        </w:rPr>
        <w:instrText xml:space="preserve">TOC \o "1-2" \h \u </w:instrText>
      </w:r>
      <w:r>
        <w:rPr>
          <w:rFonts w:eastAsia="黑体"/>
          <w:b/>
          <w:bCs/>
          <w:color w:val="auto"/>
          <w:sz w:val="44"/>
          <w:szCs w:val="44"/>
          <w:highlight w:val="none"/>
        </w:rPr>
        <w:fldChar w:fldCharType="separate"/>
      </w:r>
      <w:r>
        <w:rPr>
          <w:color w:val="auto"/>
          <w:highlight w:val="none"/>
        </w:rPr>
        <w:fldChar w:fldCharType="begin"/>
      </w:r>
      <w:r>
        <w:rPr>
          <w:color w:val="auto"/>
          <w:highlight w:val="none"/>
        </w:rPr>
        <w:instrText xml:space="preserve"> HYPERLINK \l "_Toc25620" </w:instrText>
      </w:r>
      <w:r>
        <w:rPr>
          <w:color w:val="auto"/>
          <w:highlight w:val="none"/>
        </w:rPr>
        <w:fldChar w:fldCharType="separate"/>
      </w:r>
      <w:r>
        <w:rPr>
          <w:color w:val="auto"/>
          <w:highlight w:val="none"/>
        </w:rPr>
        <w:t>一、基本情况</w:t>
      </w:r>
      <w:r>
        <w:rPr>
          <w:color w:val="auto"/>
          <w:highlight w:val="none"/>
        </w:rPr>
        <w:tab/>
      </w:r>
      <w:r>
        <w:rPr>
          <w:color w:val="auto"/>
          <w:highlight w:val="none"/>
        </w:rPr>
        <w:fldChar w:fldCharType="begin"/>
      </w:r>
      <w:r>
        <w:rPr>
          <w:color w:val="auto"/>
          <w:highlight w:val="none"/>
        </w:rPr>
        <w:instrText xml:space="preserve"> PAGEREF _Toc25620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"_Toc8971" </w:instrText>
      </w:r>
      <w:r>
        <w:rPr>
          <w:color w:val="auto"/>
          <w:highlight w:val="none"/>
        </w:rPr>
        <w:fldChar w:fldCharType="separate"/>
      </w:r>
      <w:r>
        <w:rPr>
          <w:color w:val="auto"/>
          <w:highlight w:val="none"/>
        </w:rPr>
        <w:t>（一）项目概况</w:t>
      </w:r>
      <w:r>
        <w:rPr>
          <w:color w:val="auto"/>
          <w:highlight w:val="none"/>
        </w:rPr>
        <w:tab/>
      </w:r>
      <w:r>
        <w:rPr>
          <w:color w:val="auto"/>
          <w:highlight w:val="none"/>
        </w:rPr>
        <w:fldChar w:fldCharType="begin"/>
      </w:r>
      <w:r>
        <w:rPr>
          <w:color w:val="auto"/>
          <w:highlight w:val="none"/>
        </w:rPr>
        <w:instrText xml:space="preserve"> PAGEREF _Toc8971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"_Toc25187" </w:instrText>
      </w:r>
      <w:r>
        <w:rPr>
          <w:color w:val="auto"/>
          <w:highlight w:val="none"/>
        </w:rPr>
        <w:fldChar w:fldCharType="separate"/>
      </w:r>
      <w:r>
        <w:rPr>
          <w:color w:val="auto"/>
          <w:highlight w:val="none"/>
        </w:rPr>
        <w:t>（二）项目绩效目标</w:t>
      </w:r>
      <w:r>
        <w:rPr>
          <w:color w:val="auto"/>
          <w:highlight w:val="none"/>
        </w:rPr>
        <w:tab/>
      </w:r>
      <w:r>
        <w:rPr>
          <w:color w:val="auto"/>
          <w:highlight w:val="none"/>
        </w:rPr>
        <w:fldChar w:fldCharType="begin"/>
      </w:r>
      <w:r>
        <w:rPr>
          <w:color w:val="auto"/>
          <w:highlight w:val="none"/>
        </w:rPr>
        <w:instrText xml:space="preserve"> PAGEREF _Toc25187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"_Toc28824" </w:instrText>
      </w:r>
      <w:r>
        <w:rPr>
          <w:color w:val="auto"/>
          <w:highlight w:val="none"/>
        </w:rPr>
        <w:fldChar w:fldCharType="separate"/>
      </w:r>
      <w:r>
        <w:rPr>
          <w:rFonts w:hint="eastAsia"/>
          <w:color w:val="auto"/>
          <w:highlight w:val="none"/>
        </w:rPr>
        <w:t>二、绩效评价工作开展情况</w:t>
      </w:r>
      <w:r>
        <w:rPr>
          <w:color w:val="auto"/>
          <w:highlight w:val="none"/>
        </w:rPr>
        <w:tab/>
      </w:r>
      <w:r>
        <w:rPr>
          <w:color w:val="auto"/>
          <w:highlight w:val="none"/>
        </w:rPr>
        <w:fldChar w:fldCharType="begin"/>
      </w:r>
      <w:r>
        <w:rPr>
          <w:color w:val="auto"/>
          <w:highlight w:val="none"/>
        </w:rPr>
        <w:instrText xml:space="preserve"> PAGEREF _Toc28824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"_Toc24175" </w:instrText>
      </w:r>
      <w:r>
        <w:rPr>
          <w:color w:val="auto"/>
          <w:highlight w:val="none"/>
        </w:rPr>
        <w:fldChar w:fldCharType="separate"/>
      </w:r>
      <w:r>
        <w:rPr>
          <w:rFonts w:hint="eastAsia"/>
          <w:color w:val="auto"/>
          <w:highlight w:val="none"/>
        </w:rPr>
        <w:t>（一）绩效评价目的、对象和范围</w:t>
      </w:r>
      <w:r>
        <w:rPr>
          <w:color w:val="auto"/>
          <w:highlight w:val="none"/>
        </w:rPr>
        <w:tab/>
      </w:r>
      <w:r>
        <w:rPr>
          <w:color w:val="auto"/>
          <w:highlight w:val="none"/>
        </w:rPr>
        <w:fldChar w:fldCharType="begin"/>
      </w:r>
      <w:r>
        <w:rPr>
          <w:color w:val="auto"/>
          <w:highlight w:val="none"/>
        </w:rPr>
        <w:instrText xml:space="preserve"> PAGEREF _Toc24175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"_Toc5109" </w:instrText>
      </w:r>
      <w:r>
        <w:rPr>
          <w:color w:val="auto"/>
          <w:highlight w:val="none"/>
        </w:rPr>
        <w:fldChar w:fldCharType="separate"/>
      </w:r>
      <w:r>
        <w:rPr>
          <w:rFonts w:hint="eastAsia"/>
          <w:color w:val="auto"/>
          <w:highlight w:val="none"/>
        </w:rPr>
        <w:t>（二）绩效评价原则、评价指标体系、评价方法、评价标准</w:t>
      </w:r>
      <w:r>
        <w:rPr>
          <w:color w:val="auto"/>
          <w:highlight w:val="none"/>
        </w:rPr>
        <w:tab/>
      </w:r>
      <w:r>
        <w:rPr>
          <w:color w:val="auto"/>
          <w:highlight w:val="none"/>
        </w:rPr>
        <w:fldChar w:fldCharType="begin"/>
      </w:r>
      <w:r>
        <w:rPr>
          <w:color w:val="auto"/>
          <w:highlight w:val="none"/>
        </w:rPr>
        <w:instrText xml:space="preserve"> PAGEREF _Toc5109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"_Toc23796" </w:instrText>
      </w:r>
      <w:r>
        <w:rPr>
          <w:color w:val="auto"/>
          <w:highlight w:val="none"/>
        </w:rPr>
        <w:fldChar w:fldCharType="separate"/>
      </w:r>
      <w:r>
        <w:rPr>
          <w:rFonts w:hint="eastAsia"/>
          <w:color w:val="auto"/>
          <w:highlight w:val="none"/>
        </w:rPr>
        <w:t>（三）绩效评价工作过程</w:t>
      </w:r>
      <w:r>
        <w:rPr>
          <w:color w:val="auto"/>
          <w:highlight w:val="none"/>
        </w:rPr>
        <w:tab/>
      </w:r>
      <w:r>
        <w:rPr>
          <w:color w:val="auto"/>
          <w:highlight w:val="none"/>
        </w:rPr>
        <w:fldChar w:fldCharType="begin"/>
      </w:r>
      <w:r>
        <w:rPr>
          <w:color w:val="auto"/>
          <w:highlight w:val="none"/>
        </w:rPr>
        <w:instrText xml:space="preserve"> PAGEREF _Toc23796 \h </w:instrText>
      </w:r>
      <w:r>
        <w:rPr>
          <w:color w:val="auto"/>
          <w:highlight w:val="none"/>
        </w:rPr>
        <w:fldChar w:fldCharType="separate"/>
      </w:r>
      <w:r>
        <w:rPr>
          <w:color w:val="auto"/>
          <w:highlight w:val="none"/>
        </w:rPr>
        <w:t>12</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"_Toc20784" </w:instrText>
      </w:r>
      <w:r>
        <w:rPr>
          <w:color w:val="auto"/>
          <w:highlight w:val="none"/>
        </w:rPr>
        <w:fldChar w:fldCharType="separate"/>
      </w:r>
      <w:r>
        <w:rPr>
          <w:rFonts w:hint="eastAsia"/>
          <w:color w:val="auto"/>
          <w:highlight w:val="none"/>
        </w:rPr>
        <w:t>三、综合评价情况及评价结论</w:t>
      </w:r>
      <w:r>
        <w:rPr>
          <w:color w:val="auto"/>
          <w:highlight w:val="none"/>
        </w:rPr>
        <w:tab/>
      </w:r>
      <w:r>
        <w:rPr>
          <w:color w:val="auto"/>
          <w:highlight w:val="none"/>
        </w:rPr>
        <w:fldChar w:fldCharType="begin"/>
      </w:r>
      <w:r>
        <w:rPr>
          <w:color w:val="auto"/>
          <w:highlight w:val="none"/>
        </w:rPr>
        <w:instrText xml:space="preserve"> PAGEREF _Toc20784 \h </w:instrText>
      </w:r>
      <w:r>
        <w:rPr>
          <w:color w:val="auto"/>
          <w:highlight w:val="none"/>
        </w:rPr>
        <w:fldChar w:fldCharType="separate"/>
      </w:r>
      <w:r>
        <w:rPr>
          <w:color w:val="auto"/>
          <w:highlight w:val="none"/>
        </w:rPr>
        <w:t>13</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"_Toc8960" </w:instrText>
      </w:r>
      <w:r>
        <w:rPr>
          <w:color w:val="auto"/>
          <w:highlight w:val="none"/>
        </w:rPr>
        <w:fldChar w:fldCharType="separate"/>
      </w:r>
      <w:r>
        <w:rPr>
          <w:rFonts w:hint="eastAsia"/>
          <w:color w:val="auto"/>
          <w:highlight w:val="none"/>
        </w:rPr>
        <w:t>四、绩效评价指标分析</w:t>
      </w:r>
      <w:r>
        <w:rPr>
          <w:color w:val="auto"/>
          <w:highlight w:val="none"/>
        </w:rPr>
        <w:tab/>
      </w:r>
      <w:r>
        <w:rPr>
          <w:color w:val="auto"/>
          <w:highlight w:val="none"/>
        </w:rPr>
        <w:fldChar w:fldCharType="begin"/>
      </w:r>
      <w:r>
        <w:rPr>
          <w:color w:val="auto"/>
          <w:highlight w:val="none"/>
        </w:rPr>
        <w:instrText xml:space="preserve"> PAGEREF _Toc8960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"_Toc3445" </w:instrText>
      </w:r>
      <w:r>
        <w:rPr>
          <w:color w:val="auto"/>
          <w:highlight w:val="none"/>
        </w:rPr>
        <w:fldChar w:fldCharType="separate"/>
      </w:r>
      <w:r>
        <w:rPr>
          <w:rFonts w:hint="eastAsia"/>
          <w:color w:val="auto"/>
          <w:highlight w:val="none"/>
        </w:rPr>
        <w:t>（一）项目决策情况</w:t>
      </w:r>
      <w:r>
        <w:rPr>
          <w:color w:val="auto"/>
          <w:highlight w:val="none"/>
        </w:rPr>
        <w:tab/>
      </w:r>
      <w:r>
        <w:rPr>
          <w:color w:val="auto"/>
          <w:highlight w:val="none"/>
        </w:rPr>
        <w:fldChar w:fldCharType="begin"/>
      </w:r>
      <w:r>
        <w:rPr>
          <w:color w:val="auto"/>
          <w:highlight w:val="none"/>
        </w:rPr>
        <w:instrText xml:space="preserve"> PAGEREF _Toc3445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"_Toc11290" </w:instrText>
      </w:r>
      <w:r>
        <w:rPr>
          <w:color w:val="auto"/>
          <w:highlight w:val="none"/>
        </w:rPr>
        <w:fldChar w:fldCharType="separate"/>
      </w:r>
      <w:r>
        <w:rPr>
          <w:rFonts w:hint="eastAsia"/>
          <w:color w:val="auto"/>
          <w:highlight w:val="none"/>
        </w:rPr>
        <w:t>（二）项目过程情况</w:t>
      </w:r>
      <w:r>
        <w:rPr>
          <w:color w:val="auto"/>
          <w:highlight w:val="none"/>
        </w:rPr>
        <w:tab/>
      </w:r>
      <w:r>
        <w:rPr>
          <w:color w:val="auto"/>
          <w:highlight w:val="none"/>
        </w:rPr>
        <w:fldChar w:fldCharType="begin"/>
      </w:r>
      <w:r>
        <w:rPr>
          <w:color w:val="auto"/>
          <w:highlight w:val="none"/>
        </w:rPr>
        <w:instrText xml:space="preserve"> PAGEREF _Toc11290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"_Toc32013" </w:instrText>
      </w:r>
      <w:r>
        <w:rPr>
          <w:color w:val="auto"/>
          <w:highlight w:val="none"/>
        </w:rPr>
        <w:fldChar w:fldCharType="separate"/>
      </w:r>
      <w:r>
        <w:rPr>
          <w:rFonts w:hint="eastAsia"/>
          <w:color w:val="auto"/>
          <w:highlight w:val="none"/>
        </w:rPr>
        <w:t>（三）项目产出情况</w:t>
      </w:r>
      <w:r>
        <w:rPr>
          <w:color w:val="auto"/>
          <w:highlight w:val="none"/>
        </w:rPr>
        <w:tab/>
      </w:r>
      <w:r>
        <w:rPr>
          <w:color w:val="auto"/>
          <w:highlight w:val="none"/>
        </w:rPr>
        <w:fldChar w:fldCharType="begin"/>
      </w:r>
      <w:r>
        <w:rPr>
          <w:color w:val="auto"/>
          <w:highlight w:val="none"/>
        </w:rPr>
        <w:instrText xml:space="preserve"> PAGEREF _Toc32013 \h </w:instrText>
      </w:r>
      <w:r>
        <w:rPr>
          <w:color w:val="auto"/>
          <w:highlight w:val="none"/>
        </w:rPr>
        <w:fldChar w:fldCharType="separate"/>
      </w:r>
      <w:r>
        <w:rPr>
          <w:color w:val="auto"/>
          <w:highlight w:val="none"/>
        </w:rPr>
        <w:t>17</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"_Toc28354" </w:instrText>
      </w:r>
      <w:r>
        <w:rPr>
          <w:color w:val="auto"/>
          <w:highlight w:val="none"/>
        </w:rPr>
        <w:fldChar w:fldCharType="separate"/>
      </w:r>
      <w:r>
        <w:rPr>
          <w:rFonts w:hint="eastAsia"/>
          <w:color w:val="auto"/>
          <w:highlight w:val="none"/>
        </w:rPr>
        <w:t>（四）项目效益情况</w:t>
      </w:r>
      <w:r>
        <w:rPr>
          <w:color w:val="auto"/>
          <w:highlight w:val="none"/>
        </w:rPr>
        <w:tab/>
      </w:r>
      <w:r>
        <w:rPr>
          <w:color w:val="auto"/>
          <w:highlight w:val="none"/>
        </w:rPr>
        <w:fldChar w:fldCharType="begin"/>
      </w:r>
      <w:r>
        <w:rPr>
          <w:color w:val="auto"/>
          <w:highlight w:val="none"/>
        </w:rPr>
        <w:instrText xml:space="preserve"> PAGEREF _Toc28354 \h </w:instrText>
      </w:r>
      <w:r>
        <w:rPr>
          <w:color w:val="auto"/>
          <w:highlight w:val="none"/>
        </w:rPr>
        <w:fldChar w:fldCharType="separate"/>
      </w:r>
      <w:r>
        <w:rPr>
          <w:color w:val="auto"/>
          <w:highlight w:val="none"/>
        </w:rPr>
        <w:t>18</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"_Toc27244" </w:instrText>
      </w:r>
      <w:r>
        <w:rPr>
          <w:color w:val="auto"/>
          <w:highlight w:val="none"/>
        </w:rPr>
        <w:fldChar w:fldCharType="separate"/>
      </w:r>
      <w:r>
        <w:rPr>
          <w:rFonts w:hint="eastAsia"/>
          <w:color w:val="auto"/>
          <w:highlight w:val="none"/>
        </w:rPr>
        <w:t>五、主要经验及做法、存在的问题及原因分析</w:t>
      </w:r>
      <w:r>
        <w:rPr>
          <w:color w:val="auto"/>
          <w:highlight w:val="none"/>
        </w:rPr>
        <w:tab/>
      </w:r>
      <w:r>
        <w:rPr>
          <w:color w:val="auto"/>
          <w:highlight w:val="none"/>
        </w:rPr>
        <w:fldChar w:fldCharType="begin"/>
      </w:r>
      <w:r>
        <w:rPr>
          <w:color w:val="auto"/>
          <w:highlight w:val="none"/>
        </w:rPr>
        <w:instrText xml:space="preserve"> PAGEREF _Toc27244 \h </w:instrText>
      </w:r>
      <w:r>
        <w:rPr>
          <w:color w:val="auto"/>
          <w:highlight w:val="none"/>
        </w:rPr>
        <w:fldChar w:fldCharType="separate"/>
      </w:r>
      <w:r>
        <w:rPr>
          <w:color w:val="auto"/>
          <w:highlight w:val="none"/>
        </w:rPr>
        <w:t>19</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"_Toc18880" </w:instrText>
      </w:r>
      <w:r>
        <w:rPr>
          <w:color w:val="auto"/>
          <w:highlight w:val="none"/>
        </w:rPr>
        <w:fldChar w:fldCharType="separate"/>
      </w:r>
      <w:r>
        <w:rPr>
          <w:rFonts w:hint="eastAsia"/>
          <w:color w:val="auto"/>
          <w:highlight w:val="none"/>
        </w:rPr>
        <w:t>（一）主要经验及做法</w:t>
      </w:r>
      <w:r>
        <w:rPr>
          <w:color w:val="auto"/>
          <w:highlight w:val="none"/>
        </w:rPr>
        <w:tab/>
      </w:r>
      <w:r>
        <w:rPr>
          <w:color w:val="auto"/>
          <w:highlight w:val="none"/>
        </w:rPr>
        <w:fldChar w:fldCharType="begin"/>
      </w:r>
      <w:r>
        <w:rPr>
          <w:color w:val="auto"/>
          <w:highlight w:val="none"/>
        </w:rPr>
        <w:instrText xml:space="preserve"> PAGEREF _Toc18880 \h </w:instrText>
      </w:r>
      <w:r>
        <w:rPr>
          <w:color w:val="auto"/>
          <w:highlight w:val="none"/>
        </w:rPr>
        <w:fldChar w:fldCharType="separate"/>
      </w:r>
      <w:r>
        <w:rPr>
          <w:color w:val="auto"/>
          <w:highlight w:val="none"/>
        </w:rPr>
        <w:t>19</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"_Toc9914" </w:instrText>
      </w:r>
      <w:r>
        <w:rPr>
          <w:color w:val="auto"/>
          <w:highlight w:val="none"/>
        </w:rPr>
        <w:fldChar w:fldCharType="separate"/>
      </w:r>
      <w:r>
        <w:rPr>
          <w:rFonts w:hint="eastAsia"/>
          <w:color w:val="auto"/>
          <w:highlight w:val="none"/>
        </w:rPr>
        <w:t>（二）存在问题及原因分析</w:t>
      </w:r>
      <w:r>
        <w:rPr>
          <w:color w:val="auto"/>
          <w:highlight w:val="none"/>
        </w:rPr>
        <w:tab/>
      </w:r>
      <w:r>
        <w:rPr>
          <w:color w:val="auto"/>
          <w:highlight w:val="none"/>
        </w:rPr>
        <w:fldChar w:fldCharType="begin"/>
      </w:r>
      <w:r>
        <w:rPr>
          <w:color w:val="auto"/>
          <w:highlight w:val="none"/>
        </w:rPr>
        <w:instrText xml:space="preserve"> PAGEREF _Toc9914 \h </w:instrText>
      </w:r>
      <w:r>
        <w:rPr>
          <w:color w:val="auto"/>
          <w:highlight w:val="none"/>
        </w:rPr>
        <w:fldChar w:fldCharType="separate"/>
      </w:r>
      <w:r>
        <w:rPr>
          <w:color w:val="auto"/>
          <w:highlight w:val="none"/>
        </w:rPr>
        <w:t>19</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"_Toc2334" </w:instrText>
      </w:r>
      <w:r>
        <w:rPr>
          <w:color w:val="auto"/>
          <w:highlight w:val="none"/>
        </w:rPr>
        <w:fldChar w:fldCharType="separate"/>
      </w:r>
      <w:r>
        <w:rPr>
          <w:rFonts w:hint="eastAsia"/>
          <w:color w:val="auto"/>
          <w:highlight w:val="none"/>
        </w:rPr>
        <w:t>六、有关建议</w:t>
      </w:r>
      <w:r>
        <w:rPr>
          <w:color w:val="auto"/>
          <w:highlight w:val="none"/>
        </w:rPr>
        <w:tab/>
      </w:r>
      <w:r>
        <w:rPr>
          <w:color w:val="auto"/>
          <w:highlight w:val="none"/>
        </w:rPr>
        <w:fldChar w:fldCharType="begin"/>
      </w:r>
      <w:r>
        <w:rPr>
          <w:color w:val="auto"/>
          <w:highlight w:val="none"/>
        </w:rPr>
        <w:instrText xml:space="preserve"> PAGEREF _Toc2334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"_Toc30571" </w:instrText>
      </w:r>
      <w:r>
        <w:rPr>
          <w:color w:val="auto"/>
          <w:highlight w:val="none"/>
        </w:rPr>
        <w:fldChar w:fldCharType="separate"/>
      </w:r>
      <w:r>
        <w:rPr>
          <w:rFonts w:hint="eastAsia"/>
          <w:color w:val="auto"/>
          <w:highlight w:val="none"/>
        </w:rPr>
        <w:t>七、其他需要说明的问题</w:t>
      </w:r>
      <w:r>
        <w:rPr>
          <w:color w:val="auto"/>
          <w:highlight w:val="none"/>
        </w:rPr>
        <w:tab/>
      </w:r>
      <w:r>
        <w:rPr>
          <w:color w:val="auto"/>
          <w:highlight w:val="none"/>
        </w:rPr>
        <w:fldChar w:fldCharType="begin"/>
      </w:r>
      <w:r>
        <w:rPr>
          <w:color w:val="auto"/>
          <w:highlight w:val="none"/>
        </w:rPr>
        <w:instrText xml:space="preserve"> PAGEREF _Toc30571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"_Toc10180" </w:instrText>
      </w:r>
      <w:r>
        <w:rPr>
          <w:color w:val="auto"/>
          <w:highlight w:val="none"/>
        </w:rPr>
        <w:fldChar w:fldCharType="separate"/>
      </w:r>
      <w:r>
        <w:rPr>
          <w:rFonts w:hint="eastAsia"/>
          <w:color w:val="auto"/>
          <w:highlight w:val="none"/>
        </w:rPr>
        <w:t>八、相关附件</w:t>
      </w:r>
      <w:r>
        <w:rPr>
          <w:color w:val="auto"/>
          <w:highlight w:val="none"/>
        </w:rPr>
        <w:tab/>
      </w:r>
      <w:r>
        <w:rPr>
          <w:color w:val="auto"/>
          <w:highlight w:val="none"/>
        </w:rPr>
        <w:fldChar w:fldCharType="begin"/>
      </w:r>
      <w:r>
        <w:rPr>
          <w:color w:val="auto"/>
          <w:highlight w:val="none"/>
        </w:rPr>
        <w:instrText xml:space="preserve"> PAGEREF _Toc10180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pPr>
        <w:pStyle w:val="4"/>
        <w:bidi w:val="0"/>
        <w:rPr>
          <w:rFonts w:eastAsia="黑体"/>
          <w:bCs/>
          <w:color w:val="auto"/>
          <w:szCs w:val="44"/>
          <w:highlight w:val="none"/>
        </w:rPr>
        <w:sectPr>
          <w:pgSz w:w="11906" w:h="16838"/>
          <w:pgMar w:top="1440" w:right="1800" w:bottom="1440" w:left="1800" w:header="851" w:footer="992" w:gutter="0"/>
          <w:pgNumType w:start="1"/>
          <w:cols w:space="425" w:num="1"/>
          <w:docGrid w:type="lines" w:linePitch="312" w:charSpace="0"/>
        </w:sectPr>
      </w:pPr>
    </w:p>
    <w:p>
      <w:pPr>
        <w:pStyle w:val="4"/>
        <w:bidi w:val="0"/>
        <w:rPr>
          <w:color w:val="auto"/>
          <w:highlight w:val="none"/>
        </w:rPr>
      </w:pPr>
      <w:r>
        <w:rPr>
          <w:rFonts w:eastAsia="黑体"/>
          <w:bCs/>
          <w:color w:val="auto"/>
          <w:szCs w:val="44"/>
          <w:highlight w:val="none"/>
        </w:rPr>
        <w:fldChar w:fldCharType="end"/>
      </w:r>
      <w:bookmarkStart w:id="0" w:name="_Toc25620"/>
      <w:r>
        <w:rPr>
          <w:color w:val="auto"/>
          <w:highlight w:val="none"/>
        </w:rPr>
        <w:t>一、基本情况</w:t>
      </w:r>
      <w:bookmarkEnd w:id="0"/>
    </w:p>
    <w:p>
      <w:pPr>
        <w:pStyle w:val="2"/>
        <w:bidi w:val="0"/>
        <w:rPr>
          <w:color w:val="auto"/>
          <w:highlight w:val="none"/>
        </w:rPr>
      </w:pPr>
      <w:bookmarkStart w:id="1" w:name="_Toc8971"/>
      <w:r>
        <w:rPr>
          <w:color w:val="auto"/>
          <w:highlight w:val="none"/>
        </w:rPr>
        <w:t>（一）项目概况</w:t>
      </w:r>
      <w:bookmarkEnd w:id="1"/>
    </w:p>
    <w:p>
      <w:pPr>
        <w:bidi w:val="0"/>
        <w:rPr>
          <w:b/>
          <w:bCs/>
          <w:color w:val="auto"/>
          <w:highlight w:val="none"/>
        </w:rPr>
      </w:pPr>
      <w:r>
        <w:rPr>
          <w:rFonts w:ascii="Times New Roman" w:hAnsi="Times New Roman"/>
          <w:b/>
          <w:bCs/>
          <w:color w:val="auto"/>
          <w:highlight w:val="none"/>
        </w:rPr>
        <w:t>1</w:t>
      </w:r>
      <w:r>
        <w:rPr>
          <w:b/>
          <w:bCs/>
          <w:color w:val="auto"/>
          <w:highlight w:val="none"/>
        </w:rPr>
        <w:t>、项目背景</w:t>
      </w:r>
    </w:p>
    <w:p>
      <w:pPr>
        <w:bidi w:val="0"/>
        <w:rPr>
          <w:rFonts w:hint="eastAsia" w:eastAsia="方正仿宋_GBK" w:cs="方正仿宋_GBK"/>
          <w:color w:val="auto"/>
          <w:sz w:val="32"/>
          <w:szCs w:val="32"/>
          <w:highlight w:val="none"/>
        </w:rPr>
      </w:pPr>
      <w:r>
        <w:rPr>
          <w:rFonts w:hint="eastAsia" w:eastAsia="方正仿宋_GBK" w:cs="方正仿宋_GBK"/>
          <w:color w:val="auto"/>
          <w:sz w:val="32"/>
          <w:szCs w:val="32"/>
          <w:highlight w:val="none"/>
        </w:rPr>
        <w:t>“十四五”期间国家启动实施第三轮草原补奖政策，是贯彻习近平生态文明思想，统筹经济社会发展全局作出的重大决策；是坚持以人民为中心的发展思想，促进人与自然和谐共生的具体体现；是统筹推进草原生态保护、农牧民生活改善、草牧业生产转型和可持续发展，实现牧区生产生活生态互促共赢的重要举措。各乡镇要贯彻“创新、协调、绿色、开放、共享”理念，从加快建设生态文明、巩固拓展脱贫攻坚成果</w:t>
      </w:r>
      <w:r>
        <w:rPr>
          <w:rFonts w:hint="eastAsia" w:eastAsia="方正仿宋_GBK" w:cs="方正仿宋_GBK"/>
          <w:color w:val="auto"/>
          <w:sz w:val="32"/>
          <w:szCs w:val="32"/>
          <w:highlight w:val="none"/>
          <w:lang w:eastAsia="zh-CN"/>
        </w:rPr>
        <w:t>同</w:t>
      </w:r>
      <w:r>
        <w:rPr>
          <w:rFonts w:hint="eastAsia" w:eastAsia="方正仿宋_GBK" w:cs="方正仿宋_GBK"/>
          <w:color w:val="auto"/>
          <w:sz w:val="32"/>
          <w:szCs w:val="32"/>
          <w:highlight w:val="none"/>
        </w:rPr>
        <w:t>乡村振兴有效衔接、维护民族团结和边疆稳定的战略高度出发，深刻认识实施第三轮草原补奖政策的重要性和必要性，按照国家指导意见要求，在“两个不突破”（一是纳入禁牧和草畜平衡范围的草原不突破确权登记颁证的草原面积，且总面积不得超过草原生态保护补助奖励信息系统登记面积；二是禁牧面积和草畜平衡面积按照补助标准测算后的总补助资金不突破自治区下达的中央财政草原补奖资金）的前提下，合理确定禁牧、草畜平衡面积和补助奖励标准，结合本地实际细化适合本区域的第三轮草原生态奖励补助政策方案，建立目标责任制，分解任务指标。</w:t>
      </w:r>
    </w:p>
    <w:p>
      <w:pPr>
        <w:bidi w:val="0"/>
        <w:rPr>
          <w:b/>
          <w:bCs/>
          <w:color w:val="auto"/>
          <w:highlight w:val="none"/>
        </w:rPr>
      </w:pPr>
      <w:r>
        <w:rPr>
          <w:rFonts w:ascii="Times New Roman" w:hAnsi="Times New Roman"/>
          <w:b/>
          <w:bCs/>
          <w:color w:val="auto"/>
          <w:highlight w:val="none"/>
        </w:rPr>
        <w:t>2</w:t>
      </w:r>
      <w:r>
        <w:rPr>
          <w:b/>
          <w:bCs/>
          <w:color w:val="auto"/>
          <w:highlight w:val="none"/>
        </w:rPr>
        <w:t>、项目主要内容</w:t>
      </w:r>
    </w:p>
    <w:p>
      <w:pPr>
        <w:spacing w:line="500" w:lineRule="exact"/>
        <w:ind w:firstLine="643"/>
        <w:rPr>
          <w:rFonts w:hint="eastAsia" w:eastAsia="方正仿宋_GBK"/>
          <w:b w:val="0"/>
          <w:bCs/>
          <w:color w:val="auto"/>
          <w:sz w:val="32"/>
          <w:szCs w:val="24"/>
          <w:highlight w:val="none"/>
          <w:lang w:val="en-US" w:eastAsia="zh-CN"/>
        </w:rPr>
      </w:pPr>
      <w:r>
        <w:rPr>
          <w:rFonts w:hint="eastAsia" w:eastAsia="方正仿宋_GBK"/>
          <w:b w:val="0"/>
          <w:bCs/>
          <w:color w:val="auto"/>
          <w:sz w:val="32"/>
          <w:szCs w:val="24"/>
          <w:highlight w:val="none"/>
          <w:lang w:eastAsia="zh-CN"/>
        </w:rPr>
        <w:t>该项目资金主要用于全县</w:t>
      </w:r>
      <w:r>
        <w:rPr>
          <w:rFonts w:hint="eastAsia" w:ascii="Times New Roman" w:hAnsi="Times New Roman" w:eastAsia="方正仿宋_GBK"/>
          <w:b w:val="0"/>
          <w:bCs/>
          <w:color w:val="auto"/>
          <w:sz w:val="32"/>
          <w:szCs w:val="24"/>
          <w:highlight w:val="none"/>
          <w:lang w:val="en-US" w:eastAsia="zh-CN"/>
        </w:rPr>
        <w:t>1077</w:t>
      </w:r>
      <w:r>
        <w:rPr>
          <w:rFonts w:hint="eastAsia" w:eastAsia="方正仿宋_GBK"/>
          <w:b w:val="0"/>
          <w:bCs/>
          <w:color w:val="auto"/>
          <w:sz w:val="32"/>
          <w:szCs w:val="24"/>
          <w:highlight w:val="none"/>
          <w:lang w:val="en-US" w:eastAsia="zh-CN"/>
        </w:rPr>
        <w:t>.</w:t>
      </w:r>
      <w:r>
        <w:rPr>
          <w:rFonts w:hint="eastAsia" w:ascii="Times New Roman" w:hAnsi="Times New Roman" w:eastAsia="方正仿宋_GBK"/>
          <w:b w:val="0"/>
          <w:bCs/>
          <w:color w:val="auto"/>
          <w:sz w:val="32"/>
          <w:szCs w:val="24"/>
          <w:highlight w:val="none"/>
          <w:lang w:val="en-US" w:eastAsia="zh-CN"/>
        </w:rPr>
        <w:t>61</w:t>
      </w:r>
      <w:r>
        <w:rPr>
          <w:rFonts w:hint="eastAsia" w:eastAsia="方正仿宋_GBK"/>
          <w:b w:val="0"/>
          <w:bCs/>
          <w:color w:val="auto"/>
          <w:sz w:val="32"/>
          <w:szCs w:val="24"/>
          <w:highlight w:val="none"/>
          <w:lang w:val="en-US" w:eastAsia="zh-CN"/>
        </w:rPr>
        <w:t>万亩草原补助奖励。</w:t>
      </w:r>
    </w:p>
    <w:p>
      <w:pPr>
        <w:spacing w:line="500" w:lineRule="exact"/>
        <w:ind w:firstLine="643"/>
        <w:rPr>
          <w:rFonts w:eastAsia="方正仿宋_GBK"/>
          <w:color w:val="auto"/>
          <w:kern w:val="0"/>
          <w:sz w:val="32"/>
          <w:szCs w:val="24"/>
          <w:highlight w:val="none"/>
        </w:rPr>
      </w:pPr>
      <w:r>
        <w:rPr>
          <w:rFonts w:ascii="Times New Roman" w:hAnsi="Times New Roman" w:eastAsia="方正仿宋_GBK"/>
          <w:b w:val="0"/>
          <w:bCs/>
          <w:color w:val="auto"/>
          <w:sz w:val="32"/>
          <w:szCs w:val="24"/>
          <w:highlight w:val="none"/>
        </w:rPr>
        <w:t>1</w:t>
      </w:r>
      <w:r>
        <w:rPr>
          <w:rFonts w:hint="eastAsia" w:eastAsia="方正仿宋_GBK"/>
          <w:b w:val="0"/>
          <w:bCs/>
          <w:color w:val="auto"/>
          <w:sz w:val="32"/>
          <w:szCs w:val="24"/>
          <w:highlight w:val="none"/>
        </w:rPr>
        <w:t>、一般性禁牧补助。</w:t>
      </w:r>
      <w:r>
        <w:rPr>
          <w:rFonts w:hint="eastAsia" w:eastAsia="方正仿宋_GBK"/>
          <w:color w:val="auto"/>
          <w:kern w:val="0"/>
          <w:sz w:val="32"/>
          <w:szCs w:val="24"/>
          <w:highlight w:val="none"/>
          <w:lang w:eastAsia="zh-CN"/>
        </w:rPr>
        <w:t>全县共</w:t>
      </w:r>
      <w:r>
        <w:rPr>
          <w:rFonts w:hint="eastAsia" w:ascii="Times New Roman" w:hAnsi="Times New Roman" w:eastAsia="方正仿宋_GBK"/>
          <w:color w:val="auto"/>
          <w:kern w:val="0"/>
          <w:sz w:val="32"/>
          <w:szCs w:val="24"/>
          <w:highlight w:val="none"/>
          <w:lang w:val="en-US" w:eastAsia="zh-CN"/>
        </w:rPr>
        <w:t>160</w:t>
      </w:r>
      <w:r>
        <w:rPr>
          <w:rFonts w:hint="eastAsia" w:eastAsia="方正仿宋_GBK"/>
          <w:color w:val="auto"/>
          <w:kern w:val="0"/>
          <w:sz w:val="32"/>
          <w:szCs w:val="24"/>
          <w:highlight w:val="none"/>
          <w:lang w:val="en-US" w:eastAsia="zh-CN"/>
        </w:rPr>
        <w:t>万亩，</w:t>
      </w:r>
      <w:r>
        <w:rPr>
          <w:rFonts w:hint="eastAsia" w:eastAsia="方正仿宋_GBK"/>
          <w:color w:val="auto"/>
          <w:kern w:val="0"/>
          <w:sz w:val="32"/>
          <w:szCs w:val="24"/>
          <w:highlight w:val="none"/>
        </w:rPr>
        <w:t>自治区按照每年每亩</w:t>
      </w:r>
      <w:r>
        <w:rPr>
          <w:rFonts w:ascii="Times New Roman" w:hAnsi="Times New Roman" w:eastAsia="方正仿宋_GBK"/>
          <w:color w:val="auto"/>
          <w:kern w:val="0"/>
          <w:sz w:val="32"/>
          <w:szCs w:val="24"/>
          <w:highlight w:val="none"/>
        </w:rPr>
        <w:t>6</w:t>
      </w:r>
      <w:r>
        <w:rPr>
          <w:rFonts w:hint="eastAsia" w:eastAsia="方正仿宋_GBK"/>
          <w:color w:val="auto"/>
          <w:kern w:val="0"/>
          <w:sz w:val="32"/>
          <w:szCs w:val="24"/>
          <w:highlight w:val="none"/>
        </w:rPr>
        <w:t>元的标准给予禁牧补助。牧民要自觉履行禁牧义务，监管部门要强化监管职责，确保禁牧任务的落实。</w:t>
      </w:r>
    </w:p>
    <w:p>
      <w:pPr>
        <w:spacing w:line="500" w:lineRule="exact"/>
        <w:ind w:firstLine="643"/>
        <w:rPr>
          <w:rFonts w:eastAsia="方正仿宋_GBK"/>
          <w:color w:val="auto"/>
          <w:kern w:val="0"/>
          <w:sz w:val="32"/>
          <w:szCs w:val="24"/>
          <w:highlight w:val="none"/>
        </w:rPr>
      </w:pPr>
      <w:r>
        <w:rPr>
          <w:rFonts w:ascii="Times New Roman" w:hAnsi="Times New Roman" w:eastAsia="方正仿宋_GBK"/>
          <w:b w:val="0"/>
          <w:bCs/>
          <w:color w:val="auto"/>
          <w:sz w:val="32"/>
          <w:szCs w:val="24"/>
          <w:highlight w:val="none"/>
        </w:rPr>
        <w:t>2</w:t>
      </w:r>
      <w:r>
        <w:rPr>
          <w:rFonts w:hint="eastAsia" w:eastAsia="方正仿宋_GBK"/>
          <w:b w:val="0"/>
          <w:bCs/>
          <w:color w:val="auto"/>
          <w:sz w:val="32"/>
          <w:szCs w:val="24"/>
          <w:highlight w:val="none"/>
        </w:rPr>
        <w:t>、</w:t>
      </w:r>
      <w:r>
        <w:rPr>
          <w:rFonts w:hint="eastAsia" w:eastAsia="方正仿宋_GBK"/>
          <w:b w:val="0"/>
          <w:bCs/>
          <w:color w:val="auto"/>
          <w:kern w:val="0"/>
          <w:sz w:val="32"/>
          <w:szCs w:val="24"/>
          <w:highlight w:val="none"/>
        </w:rPr>
        <w:t>草畜平衡奖励。</w:t>
      </w:r>
      <w:r>
        <w:rPr>
          <w:rFonts w:hint="eastAsia" w:eastAsia="方正仿宋_GBK"/>
          <w:color w:val="auto"/>
          <w:kern w:val="0"/>
          <w:sz w:val="32"/>
          <w:szCs w:val="24"/>
          <w:highlight w:val="none"/>
          <w:lang w:eastAsia="zh-CN"/>
        </w:rPr>
        <w:t>全县共</w:t>
      </w:r>
      <w:r>
        <w:rPr>
          <w:rFonts w:hint="eastAsia" w:ascii="Times New Roman" w:hAnsi="Times New Roman" w:eastAsia="方正仿宋_GBK"/>
          <w:color w:val="auto"/>
          <w:kern w:val="0"/>
          <w:sz w:val="32"/>
          <w:szCs w:val="24"/>
          <w:highlight w:val="none"/>
          <w:lang w:val="en-US" w:eastAsia="zh-CN"/>
        </w:rPr>
        <w:t>917</w:t>
      </w:r>
      <w:r>
        <w:rPr>
          <w:rFonts w:hint="eastAsia" w:eastAsia="方正仿宋_GBK"/>
          <w:color w:val="auto"/>
          <w:kern w:val="0"/>
          <w:sz w:val="32"/>
          <w:szCs w:val="24"/>
          <w:highlight w:val="none"/>
          <w:lang w:val="en-US" w:eastAsia="zh-CN"/>
        </w:rPr>
        <w:t>.</w:t>
      </w:r>
      <w:r>
        <w:rPr>
          <w:rFonts w:hint="eastAsia" w:ascii="Times New Roman" w:hAnsi="Times New Roman" w:eastAsia="方正仿宋_GBK"/>
          <w:color w:val="auto"/>
          <w:kern w:val="0"/>
          <w:sz w:val="32"/>
          <w:szCs w:val="24"/>
          <w:highlight w:val="none"/>
          <w:lang w:val="en-US" w:eastAsia="zh-CN"/>
        </w:rPr>
        <w:t>61</w:t>
      </w:r>
      <w:r>
        <w:rPr>
          <w:rFonts w:hint="eastAsia" w:eastAsia="方正仿宋_GBK"/>
          <w:color w:val="auto"/>
          <w:kern w:val="0"/>
          <w:sz w:val="32"/>
          <w:szCs w:val="24"/>
          <w:highlight w:val="none"/>
          <w:lang w:val="en-US" w:eastAsia="zh-CN"/>
        </w:rPr>
        <w:t>万亩，</w:t>
      </w:r>
      <w:r>
        <w:rPr>
          <w:rFonts w:hint="eastAsia" w:eastAsia="方正仿宋_GBK"/>
          <w:color w:val="auto"/>
          <w:kern w:val="0"/>
          <w:sz w:val="32"/>
          <w:szCs w:val="24"/>
          <w:highlight w:val="none"/>
        </w:rPr>
        <w:t>对禁牧区域以外的草原根据承载能力核定合理载畜量，实施草畜平衡管理，自治区对履行草畜平衡义务的牧民按照每年每亩</w:t>
      </w:r>
      <w:r>
        <w:rPr>
          <w:rFonts w:ascii="Times New Roman" w:hAnsi="Times New Roman" w:eastAsia="方正仿宋_GBK"/>
          <w:color w:val="auto"/>
          <w:kern w:val="0"/>
          <w:sz w:val="32"/>
          <w:szCs w:val="24"/>
          <w:highlight w:val="none"/>
        </w:rPr>
        <w:t>2</w:t>
      </w:r>
      <w:r>
        <w:rPr>
          <w:rFonts w:eastAsia="方正仿宋_GBK"/>
          <w:color w:val="auto"/>
          <w:kern w:val="0"/>
          <w:sz w:val="32"/>
          <w:szCs w:val="24"/>
          <w:highlight w:val="none"/>
        </w:rPr>
        <w:t>.</w:t>
      </w:r>
      <w:r>
        <w:rPr>
          <w:rFonts w:ascii="Times New Roman" w:hAnsi="Times New Roman" w:eastAsia="方正仿宋_GBK"/>
          <w:color w:val="auto"/>
          <w:kern w:val="0"/>
          <w:sz w:val="32"/>
          <w:szCs w:val="24"/>
          <w:highlight w:val="none"/>
        </w:rPr>
        <w:t>5</w:t>
      </w:r>
      <w:r>
        <w:rPr>
          <w:rFonts w:hint="eastAsia" w:eastAsia="方正仿宋_GBK"/>
          <w:color w:val="auto"/>
          <w:kern w:val="0"/>
          <w:sz w:val="32"/>
          <w:szCs w:val="24"/>
          <w:highlight w:val="none"/>
        </w:rPr>
        <w:t>元的测算标准给予草畜平衡奖励。牧民要自觉履行草畜平衡义务，监管部门要强化监管职责，确保草畜平衡任务的落实。</w:t>
      </w:r>
    </w:p>
    <w:p>
      <w:pPr>
        <w:bidi w:val="0"/>
        <w:rPr>
          <w:b/>
          <w:bCs/>
          <w:color w:val="auto"/>
          <w:highlight w:val="none"/>
        </w:rPr>
      </w:pPr>
      <w:r>
        <w:rPr>
          <w:rFonts w:hint="eastAsia" w:ascii="Times New Roman" w:hAnsi="Times New Roman"/>
          <w:b/>
          <w:bCs/>
          <w:color w:val="auto"/>
          <w:highlight w:val="none"/>
        </w:rPr>
        <w:t>3</w:t>
      </w:r>
      <w:r>
        <w:rPr>
          <w:rFonts w:hint="eastAsia"/>
          <w:b/>
          <w:bCs/>
          <w:color w:val="auto"/>
          <w:highlight w:val="none"/>
        </w:rPr>
        <w:t>、</w:t>
      </w:r>
      <w:r>
        <w:rPr>
          <w:b/>
          <w:bCs/>
          <w:color w:val="auto"/>
          <w:highlight w:val="none"/>
        </w:rPr>
        <w:t>项目实施情况</w:t>
      </w:r>
    </w:p>
    <w:p>
      <w:pPr>
        <w:bidi w:val="0"/>
        <w:rPr>
          <w:rFonts w:hint="eastAsia" w:ascii="Times New Roman" w:hAnsi="Times New Roman" w:eastAsia="方正仿宋_GBK"/>
          <w:snapToGrid w:val="0"/>
          <w:color w:val="auto"/>
          <w:sz w:val="32"/>
          <w:szCs w:val="24"/>
          <w:highlight w:val="none"/>
        </w:rPr>
      </w:pPr>
      <w:r>
        <w:rPr>
          <w:rFonts w:hint="eastAsia" w:ascii="Times New Roman" w:hAnsi="Times New Roman" w:eastAsia="方正仿宋_GBK"/>
          <w:snapToGrid w:val="0"/>
          <w:color w:val="auto"/>
          <w:sz w:val="32"/>
          <w:szCs w:val="24"/>
          <w:highlight w:val="none"/>
        </w:rPr>
        <w:t>1．实施方案编制。县农业农村局（畜牧兽医局）牵头，会同县财政局、自然资源局、林业和草原局编制实施方案，报经县人民政府同意后，印发各乡镇执行，同时报自治州农业农村局、畜牧兽医局、财政局、自然资源局、林业和草原局备案。</w:t>
      </w:r>
    </w:p>
    <w:p>
      <w:pPr>
        <w:bidi w:val="0"/>
        <w:rPr>
          <w:rFonts w:hint="eastAsia" w:ascii="Times New Roman" w:hAnsi="Times New Roman" w:eastAsia="方正仿宋_GBK"/>
          <w:snapToGrid w:val="0"/>
          <w:color w:val="auto"/>
          <w:sz w:val="32"/>
          <w:szCs w:val="24"/>
          <w:highlight w:val="none"/>
        </w:rPr>
      </w:pPr>
      <w:r>
        <w:rPr>
          <w:rFonts w:hint="eastAsia" w:ascii="Times New Roman" w:hAnsi="Times New Roman" w:eastAsia="方正仿宋_GBK"/>
          <w:snapToGrid w:val="0"/>
          <w:color w:val="auto"/>
          <w:sz w:val="32"/>
          <w:szCs w:val="24"/>
          <w:highlight w:val="none"/>
        </w:rPr>
        <w:t>2．各乡镇负责补助奖励农牧民信息登记造册工作，将草原禁牧区域和草畜平衡区域落实到具体地块，统计每户禁牧与草畜平衡面积，以及发放补助奖励资金数额，对所在承包的草场范围之内，非法开垦林地、草地及非法转包转卖草场行为的，经与司法部门核实，将直接取消该牧民的补助资金，将农牧民名单经公示无异议后，报县农业农村局（畜牧兽医局）、自然资源局、林业和草原局备案，并提交财政局，将资金发放到户。</w:t>
      </w:r>
    </w:p>
    <w:p>
      <w:pPr>
        <w:bidi w:val="0"/>
        <w:rPr>
          <w:rFonts w:hint="eastAsia" w:ascii="Times New Roman" w:hAnsi="Times New Roman" w:eastAsia="方正仿宋_GBK"/>
          <w:snapToGrid w:val="0"/>
          <w:color w:val="auto"/>
          <w:sz w:val="32"/>
          <w:szCs w:val="24"/>
          <w:highlight w:val="none"/>
        </w:rPr>
      </w:pPr>
      <w:r>
        <w:rPr>
          <w:rFonts w:hint="eastAsia" w:ascii="Times New Roman" w:hAnsi="Times New Roman" w:eastAsia="方正仿宋_GBK"/>
          <w:snapToGrid w:val="0"/>
          <w:color w:val="auto"/>
          <w:sz w:val="32"/>
          <w:szCs w:val="24"/>
          <w:highlight w:val="none"/>
        </w:rPr>
        <w:t>3．开展监督检查。县人民政府年底前组织开展实施农牧民补助奖励政策落实情况抽查，各乡镇抽查率不低于50％。重点检查禁牧区和草畜平衡区草原的任务落实、监管以及资金发放等情况。发现违规违纪行为，严肃查处。</w:t>
      </w:r>
    </w:p>
    <w:p>
      <w:pPr>
        <w:bidi w:val="0"/>
        <w:rPr>
          <w:rFonts w:hint="eastAsia" w:ascii="Times New Roman" w:hAnsi="Times New Roman" w:eastAsia="方正仿宋_GBK"/>
          <w:snapToGrid w:val="0"/>
          <w:color w:val="auto"/>
          <w:sz w:val="32"/>
          <w:szCs w:val="24"/>
          <w:highlight w:val="none"/>
        </w:rPr>
      </w:pPr>
      <w:r>
        <w:rPr>
          <w:rFonts w:hint="eastAsia" w:ascii="Times New Roman" w:hAnsi="Times New Roman" w:eastAsia="方正仿宋_GBK"/>
          <w:snapToGrid w:val="0"/>
          <w:color w:val="auto"/>
          <w:sz w:val="32"/>
          <w:szCs w:val="24"/>
          <w:highlight w:val="none"/>
        </w:rPr>
        <w:t>4．发放补助奖励资金。本着先实施、后补助奖励的原则，农牧民在正确履行当年禁牧和草畜平衡责任与义务后，才能享受国家的补助奖励资金。当年任务完成后，由各乡镇负责将补助奖励资金发放登记造册，并在各村委会公示，公示期不少于7天。对公示中群众提出的问题，及时核实信息的真实性，对不符合享受补助政策的牧民，直接取消补助，由村集体领取补助资金。对公示无异议的，经村、乡第一责任人签字盖章，由各乡镇将补助奖励名册提交县农业农村局（畜牧兽医局）、自然资源局、林业和草原局备案，并将补助奖励名册报财政局，由财政局下拨资金到乡财政所，于2023年9月30日前，补助奖励资金全部发放到户。</w:t>
      </w:r>
    </w:p>
    <w:p>
      <w:pPr>
        <w:bidi w:val="0"/>
        <w:rPr>
          <w:rFonts w:hint="eastAsia" w:ascii="Times New Roman" w:hAnsi="Times New Roman" w:eastAsia="方正仿宋_GBK"/>
          <w:snapToGrid w:val="0"/>
          <w:color w:val="auto"/>
          <w:sz w:val="32"/>
          <w:szCs w:val="24"/>
          <w:highlight w:val="none"/>
        </w:rPr>
      </w:pPr>
      <w:r>
        <w:rPr>
          <w:rFonts w:hint="eastAsia" w:ascii="Times New Roman" w:hAnsi="Times New Roman" w:eastAsia="方正仿宋_GBK"/>
          <w:snapToGrid w:val="0"/>
          <w:color w:val="auto"/>
          <w:sz w:val="32"/>
          <w:szCs w:val="24"/>
          <w:highlight w:val="none"/>
        </w:rPr>
        <w:t>5．严格执行“上封顶”政策，全县原则上确定牧户享受的补奖资金上封顶标准不得超过7.5万元，避免出现因补贴额度过高“垒大户”。</w:t>
      </w:r>
    </w:p>
    <w:p>
      <w:pPr>
        <w:bidi w:val="0"/>
        <w:rPr>
          <w:rFonts w:hint="eastAsia" w:ascii="Times New Roman" w:hAnsi="Times New Roman" w:eastAsia="方正仿宋_GBK"/>
          <w:snapToGrid w:val="0"/>
          <w:color w:val="auto"/>
          <w:sz w:val="32"/>
          <w:szCs w:val="24"/>
          <w:highlight w:val="none"/>
        </w:rPr>
      </w:pPr>
      <w:r>
        <w:rPr>
          <w:rFonts w:hint="eastAsia" w:ascii="Times New Roman" w:hAnsi="Times New Roman" w:eastAsia="方正仿宋_GBK"/>
          <w:snapToGrid w:val="0"/>
          <w:color w:val="auto"/>
          <w:sz w:val="32"/>
          <w:szCs w:val="24"/>
          <w:highlight w:val="none"/>
        </w:rPr>
        <w:t>6．严格按照《巴州稳定和完善草原确权承包工作方案》要求，在草原确权承包原有的基础上进一步完善，整个工作程序和结果要做到公开、公正、透明，保持目前草原承包关系，保持草原承包期限不变，重大事项均由集体经济组织成员民主讨论决定，积极稳妥地解决问题，严禁强行推动，坚决杜绝发生损害农牧民利益的现象，避免引发社会矛盾。坚决禁止逃避封顶政策，借机以分户为名扩大牧户数量，多领补奖资金或无畜牧业利用价值的无主草场办理承包合同书等行为，发现一起，查处一起。</w:t>
      </w:r>
    </w:p>
    <w:p>
      <w:pPr>
        <w:bidi w:val="0"/>
        <w:rPr>
          <w:rFonts w:hint="eastAsia" w:ascii="Times New Roman" w:hAnsi="Times New Roman" w:eastAsia="方正仿宋_GBK"/>
          <w:snapToGrid w:val="0"/>
          <w:color w:val="auto"/>
          <w:sz w:val="32"/>
          <w:szCs w:val="24"/>
          <w:highlight w:val="none"/>
        </w:rPr>
      </w:pPr>
      <w:r>
        <w:rPr>
          <w:rFonts w:hint="eastAsia" w:ascii="Times New Roman" w:hAnsi="Times New Roman" w:eastAsia="方正仿宋_GBK"/>
          <w:snapToGrid w:val="0"/>
          <w:color w:val="auto"/>
          <w:sz w:val="32"/>
          <w:szCs w:val="24"/>
          <w:highlight w:val="none"/>
        </w:rPr>
        <w:t>7．严格按照补奖资金管理办法规定的资金发放流程管理，由乡镇提供公示的补助奖励资金发放名单，县农业农村局（畜牧兽医局）、林业和草原局、财政局审核签字盖章建档后，录入牧户信息管理系统。录入系统数据导出打印后作为财政部门拨付资金的依据，未录入系统的信息一律不予资金发放。从系统导出的审核数据作为财政部门资金拨付的唯一凭证依据。</w:t>
      </w:r>
    </w:p>
    <w:p>
      <w:pPr>
        <w:bidi w:val="0"/>
        <w:rPr>
          <w:b/>
          <w:bCs/>
          <w:color w:val="auto"/>
          <w:highlight w:val="none"/>
        </w:rPr>
      </w:pPr>
      <w:r>
        <w:rPr>
          <w:rFonts w:hint="eastAsia" w:ascii="Times New Roman" w:hAnsi="Times New Roman"/>
          <w:b/>
          <w:bCs/>
          <w:color w:val="auto"/>
          <w:highlight w:val="none"/>
        </w:rPr>
        <w:t>4</w:t>
      </w:r>
      <w:r>
        <w:rPr>
          <w:rFonts w:hint="eastAsia"/>
          <w:b/>
          <w:bCs/>
          <w:color w:val="auto"/>
          <w:highlight w:val="none"/>
        </w:rPr>
        <w:t>、资金投入情况</w:t>
      </w:r>
    </w:p>
    <w:p>
      <w:pPr>
        <w:bidi w:val="0"/>
        <w:rPr>
          <w:rFonts w:hint="eastAsia" w:ascii="Times New Roman" w:hAnsi="Times New Roman" w:eastAsia="方正仿宋_GBK" w:cs="Times New Roman"/>
          <w:color w:val="auto"/>
          <w:highlight w:val="none"/>
        </w:rPr>
      </w:pPr>
      <w:r>
        <w:rPr>
          <w:rFonts w:hint="eastAsia" w:ascii="方正仿宋_GBK" w:hAnsi="方正仿宋_GBK" w:eastAsia="方正仿宋_GBK" w:cs="方正仿宋_GBK"/>
          <w:color w:val="auto"/>
          <w:highlight w:val="none"/>
        </w:rPr>
        <w:t>根据《</w:t>
      </w:r>
      <w:r>
        <w:rPr>
          <w:rFonts w:hint="eastAsia" w:ascii="方正仿宋_GBK" w:hAnsi="方正仿宋_GBK" w:eastAsia="方正仿宋_GBK" w:cs="方正仿宋_GBK"/>
          <w:color w:val="auto"/>
          <w:highlight w:val="none"/>
          <w:lang w:val="en-US" w:eastAsia="zh-CN"/>
        </w:rPr>
        <w:t>巴</w:t>
      </w:r>
      <w:r>
        <w:rPr>
          <w:rFonts w:hint="eastAsia" w:ascii="方正仿宋_GBK" w:hAnsi="方正仿宋_GBK" w:eastAsia="方正仿宋_GBK" w:cs="方正仿宋_GBK"/>
          <w:color w:val="auto"/>
          <w:highlight w:val="none"/>
        </w:rPr>
        <w:t>财</w:t>
      </w:r>
      <w:r>
        <w:rPr>
          <w:rFonts w:hint="eastAsia" w:ascii="方正仿宋_GBK" w:hAnsi="方正仿宋_GBK" w:eastAsia="方正仿宋_GBK" w:cs="方正仿宋_GBK"/>
          <w:color w:val="auto"/>
          <w:highlight w:val="none"/>
          <w:lang w:eastAsia="zh-CN"/>
        </w:rPr>
        <w:t>农</w:t>
      </w:r>
      <w:r>
        <w:rPr>
          <w:rFonts w:hint="default" w:ascii="Times New Roman" w:hAnsi="Times New Roman" w:eastAsia="方正仿宋_GBK" w:cs="Times New Roman"/>
          <w:color w:val="auto"/>
          <w:highlight w:val="none"/>
        </w:rPr>
        <w:t>〔202</w:t>
      </w:r>
      <w:r>
        <w:rPr>
          <w:rFonts w:hint="eastAsia" w:eastAsia="方正仿宋_GBK" w:cs="Times New Roman"/>
          <w:color w:val="auto"/>
          <w:highlight w:val="none"/>
          <w:lang w:val="en-US" w:eastAsia="zh-CN"/>
        </w:rPr>
        <w:t>2</w:t>
      </w:r>
      <w:r>
        <w:rPr>
          <w:rFonts w:hint="default" w:ascii="Times New Roman" w:hAnsi="Times New Roman" w:eastAsia="方正仿宋_GBK" w:cs="Times New Roman"/>
          <w:color w:val="auto"/>
          <w:highlight w:val="none"/>
        </w:rPr>
        <w:t>〕</w:t>
      </w:r>
      <w:r>
        <w:rPr>
          <w:rFonts w:hint="eastAsia" w:eastAsia="方正仿宋_GBK" w:cs="Times New Roman"/>
          <w:color w:val="auto"/>
          <w:highlight w:val="none"/>
          <w:lang w:val="en-US" w:eastAsia="zh-CN"/>
        </w:rPr>
        <w:t>64</w:t>
      </w:r>
      <w:r>
        <w:rPr>
          <w:rFonts w:hint="default" w:ascii="Times New Roman" w:hAnsi="Times New Roman" w:eastAsia="方正仿宋_GBK" w:cs="Times New Roman"/>
          <w:color w:val="auto"/>
          <w:highlight w:val="none"/>
        </w:rPr>
        <w:t>号</w:t>
      </w:r>
      <w:r>
        <w:rPr>
          <w:rFonts w:hint="eastAsia" w:ascii="方正仿宋_GBK" w:hAnsi="方正仿宋_GBK" w:eastAsia="方正仿宋_GBK" w:cs="方正仿宋_GBK"/>
          <w:color w:val="auto"/>
          <w:highlight w:val="none"/>
        </w:rPr>
        <w:t>》文件要求，下</w:t>
      </w:r>
      <w:r>
        <w:rPr>
          <w:rFonts w:hint="eastAsia" w:ascii="Times New Roman" w:hAnsi="Times New Roman" w:eastAsia="方正仿宋_GBK" w:cs="Times New Roman"/>
          <w:color w:val="auto"/>
          <w:highlight w:val="none"/>
        </w:rPr>
        <w:t>达202</w:t>
      </w:r>
      <w:r>
        <w:rPr>
          <w:rFonts w:hint="eastAsia" w:eastAsia="方正仿宋_GBK" w:cs="Times New Roman"/>
          <w:color w:val="auto"/>
          <w:highlight w:val="none"/>
          <w:lang w:val="en-US" w:eastAsia="zh-CN"/>
        </w:rPr>
        <w:t>3</w:t>
      </w:r>
      <w:r>
        <w:rPr>
          <w:rFonts w:hint="eastAsia" w:ascii="Times New Roman" w:hAnsi="Times New Roman" w:eastAsia="方正仿宋_GBK" w:cs="Times New Roman"/>
          <w:color w:val="auto"/>
          <w:highlight w:val="none"/>
        </w:rPr>
        <w:t>年</w:t>
      </w:r>
      <w:r>
        <w:rPr>
          <w:rFonts w:hint="eastAsia" w:ascii="Times New Roman" w:hAnsi="Times New Roman" w:eastAsia="方正仿宋_GBK" w:cs="Times New Roman"/>
          <w:color w:val="auto"/>
          <w:highlight w:val="none"/>
          <w:lang w:eastAsia="zh-CN"/>
        </w:rPr>
        <w:t>提前下达2023年中央农业资源及生态保护补助资金</w:t>
      </w:r>
      <w:r>
        <w:rPr>
          <w:rFonts w:hint="eastAsia" w:ascii="Times New Roman" w:hAnsi="Times New Roman" w:eastAsia="方正仿宋_GBK" w:cs="Times New Roman"/>
          <w:color w:val="auto"/>
          <w:highlight w:val="none"/>
          <w:lang w:val="en-US" w:eastAsia="zh-CN"/>
        </w:rPr>
        <w:t>3254.025</w:t>
      </w:r>
      <w:r>
        <w:rPr>
          <w:rFonts w:hint="eastAsia" w:ascii="Times New Roman" w:hAnsi="Times New Roman" w:eastAsia="方正仿宋_GBK" w:cs="Times New Roman"/>
          <w:color w:val="auto"/>
          <w:highlight w:val="none"/>
        </w:rPr>
        <w:t>万元。</w:t>
      </w:r>
    </w:p>
    <w:p>
      <w:pPr>
        <w:bidi w:val="0"/>
        <w:rPr>
          <w:rFonts w:hint="eastAsia" w:ascii="Times New Roman" w:hAnsi="Times New Roman" w:eastAsia="方正仿宋_GBK" w:cs="Times New Roman"/>
          <w:color w:val="auto"/>
          <w:highlight w:val="none"/>
        </w:rPr>
      </w:pPr>
      <w:r>
        <w:rPr>
          <w:rFonts w:hint="eastAsia" w:ascii="Times New Roman" w:hAnsi="Times New Roman" w:eastAsia="方正仿宋_GBK" w:cs="Times New Roman"/>
          <w:color w:val="auto"/>
          <w:highlight w:val="none"/>
        </w:rPr>
        <w:t>实施202</w:t>
      </w:r>
      <w:r>
        <w:rPr>
          <w:rFonts w:hint="eastAsia" w:eastAsia="方正仿宋_GBK" w:cs="Times New Roman"/>
          <w:color w:val="auto"/>
          <w:highlight w:val="none"/>
          <w:lang w:val="en-US" w:eastAsia="zh-CN"/>
        </w:rPr>
        <w:t>3</w:t>
      </w:r>
      <w:r>
        <w:rPr>
          <w:rFonts w:hint="eastAsia" w:ascii="Times New Roman" w:hAnsi="Times New Roman" w:eastAsia="方正仿宋_GBK" w:cs="Times New Roman"/>
          <w:color w:val="auto"/>
          <w:highlight w:val="none"/>
        </w:rPr>
        <w:t>年</w:t>
      </w:r>
      <w:r>
        <w:rPr>
          <w:rFonts w:hint="eastAsia" w:ascii="Times New Roman" w:hAnsi="Times New Roman" w:eastAsia="方正仿宋_GBK" w:cs="Times New Roman"/>
          <w:color w:val="auto"/>
          <w:highlight w:val="none"/>
          <w:lang w:eastAsia="zh-CN"/>
        </w:rPr>
        <w:t>草原生态保护补助奖励</w:t>
      </w:r>
      <w:r>
        <w:rPr>
          <w:rFonts w:hint="eastAsia" w:ascii="Times New Roman" w:hAnsi="Times New Roman" w:eastAsia="方正仿宋_GBK" w:cs="Times New Roman"/>
          <w:color w:val="auto"/>
          <w:highlight w:val="none"/>
        </w:rPr>
        <w:t>投入</w:t>
      </w:r>
      <w:r>
        <w:rPr>
          <w:rFonts w:hint="eastAsia" w:ascii="Times New Roman" w:hAnsi="Times New Roman" w:eastAsia="方正仿宋_GBK" w:cs="Times New Roman"/>
          <w:color w:val="auto"/>
          <w:highlight w:val="none"/>
          <w:lang w:val="en-US" w:eastAsia="zh-CN"/>
        </w:rPr>
        <w:t>3254.025</w:t>
      </w:r>
      <w:r>
        <w:rPr>
          <w:rFonts w:hint="eastAsia" w:ascii="Times New Roman" w:hAnsi="Times New Roman" w:eastAsia="方正仿宋_GBK" w:cs="Times New Roman"/>
          <w:color w:val="auto"/>
          <w:highlight w:val="none"/>
        </w:rPr>
        <w:t>万元，</w:t>
      </w:r>
      <w:r>
        <w:rPr>
          <w:rFonts w:hint="eastAsia" w:ascii="Times New Roman" w:hAnsi="Times New Roman" w:eastAsia="方正仿宋_GBK" w:cs="Times New Roman"/>
          <w:color w:val="auto"/>
          <w:highlight w:val="none"/>
          <w:lang w:eastAsia="zh-CN"/>
        </w:rPr>
        <w:t>全部为中央农业资源及生态保护补助资金</w:t>
      </w:r>
    </w:p>
    <w:p>
      <w:pPr>
        <w:bidi w:val="0"/>
        <w:rPr>
          <w:rFonts w:hint="eastAsia" w:ascii="方正仿宋_GBK" w:hAnsi="方正仿宋_GBK" w:eastAsia="方正仿宋_GBK" w:cs="方正仿宋_GBK"/>
          <w:b/>
          <w:bCs/>
          <w:color w:val="auto"/>
          <w:highlight w:val="none"/>
        </w:rPr>
      </w:pPr>
      <w:r>
        <w:rPr>
          <w:rFonts w:hint="eastAsia" w:ascii="Times New Roman" w:hAnsi="Times New Roman" w:eastAsia="方正仿宋_GBK" w:cs="方正仿宋_GBK"/>
          <w:b/>
          <w:bCs/>
          <w:color w:val="auto"/>
          <w:highlight w:val="none"/>
        </w:rPr>
        <w:t>5</w:t>
      </w:r>
      <w:r>
        <w:rPr>
          <w:rFonts w:hint="eastAsia" w:ascii="方正仿宋_GBK" w:hAnsi="方正仿宋_GBK" w:eastAsia="方正仿宋_GBK" w:cs="方正仿宋_GBK"/>
          <w:b/>
          <w:bCs/>
          <w:color w:val="auto"/>
          <w:highlight w:val="none"/>
        </w:rPr>
        <w:t>、资金使用情况</w:t>
      </w:r>
    </w:p>
    <w:p>
      <w:pPr>
        <w:bidi w:val="0"/>
        <w:rPr>
          <w:rFonts w:hint="eastAsia" w:ascii="Times New Roman" w:hAnsi="Times New Roman" w:eastAsia="方正仿宋_GBK" w:cs="Times New Roman"/>
          <w:color w:val="auto"/>
          <w:highlight w:val="none"/>
          <w:lang w:eastAsia="zh-CN"/>
        </w:rPr>
      </w:pPr>
      <w:r>
        <w:rPr>
          <w:rFonts w:hint="eastAsia" w:ascii="Times New Roman" w:hAnsi="Times New Roman" w:eastAsia="方正仿宋_GBK" w:cs="Times New Roman"/>
          <w:color w:val="auto"/>
          <w:highlight w:val="none"/>
          <w:lang w:val="en-US" w:eastAsia="zh-CN"/>
        </w:rPr>
        <w:t>本项目</w:t>
      </w:r>
      <w:r>
        <w:rPr>
          <w:rFonts w:hint="eastAsia" w:ascii="Times New Roman" w:hAnsi="Times New Roman" w:eastAsia="方正仿宋_GBK" w:cs="Times New Roman"/>
          <w:color w:val="auto"/>
          <w:highlight w:val="none"/>
          <w:lang w:eastAsia="zh-CN"/>
        </w:rPr>
        <w:t>年初预算数</w:t>
      </w:r>
      <w:r>
        <w:rPr>
          <w:rFonts w:hint="eastAsia" w:ascii="Times New Roman" w:hAnsi="Times New Roman" w:eastAsia="方正仿宋_GBK" w:cs="Times New Roman"/>
          <w:color w:val="auto"/>
          <w:highlight w:val="none"/>
          <w:lang w:val="en-US" w:eastAsia="zh-CN"/>
        </w:rPr>
        <w:t>3254.025</w:t>
      </w:r>
      <w:r>
        <w:rPr>
          <w:rFonts w:hint="eastAsia" w:ascii="Times New Roman" w:hAnsi="Times New Roman" w:eastAsia="方正仿宋_GBK" w:cs="Times New Roman"/>
          <w:color w:val="auto"/>
          <w:highlight w:val="none"/>
        </w:rPr>
        <w:t>万元</w:t>
      </w:r>
      <w:r>
        <w:rPr>
          <w:rFonts w:hint="eastAsia" w:ascii="Times New Roman" w:hAnsi="Times New Roman" w:eastAsia="方正仿宋_GBK" w:cs="Times New Roman"/>
          <w:color w:val="auto"/>
          <w:highlight w:val="none"/>
          <w:lang w:eastAsia="zh-CN"/>
        </w:rPr>
        <w:t>，</w:t>
      </w:r>
      <w:r>
        <w:rPr>
          <w:rFonts w:hint="eastAsia" w:ascii="Times New Roman" w:hAnsi="Times New Roman" w:eastAsia="方正仿宋_GBK" w:cs="Times New Roman"/>
          <w:color w:val="auto"/>
          <w:highlight w:val="none"/>
        </w:rPr>
        <w:t>实际到位资金</w:t>
      </w:r>
      <w:r>
        <w:rPr>
          <w:rFonts w:hint="eastAsia" w:ascii="Times New Roman" w:hAnsi="Times New Roman" w:eastAsia="方正仿宋_GBK" w:cs="Times New Roman"/>
          <w:color w:val="auto"/>
          <w:highlight w:val="none"/>
          <w:lang w:val="en-US" w:eastAsia="zh-CN"/>
        </w:rPr>
        <w:t>3254.025</w:t>
      </w:r>
      <w:r>
        <w:rPr>
          <w:rFonts w:hint="eastAsia" w:ascii="Times New Roman" w:hAnsi="Times New Roman" w:eastAsia="方正仿宋_GBK" w:cs="Times New Roman"/>
          <w:color w:val="auto"/>
          <w:highlight w:val="none"/>
        </w:rPr>
        <w:t>万元</w:t>
      </w:r>
      <w:r>
        <w:rPr>
          <w:rFonts w:hint="eastAsia" w:ascii="Times New Roman" w:hAnsi="Times New Roman" w:eastAsia="方正仿宋_GBK" w:cs="Times New Roman"/>
          <w:color w:val="auto"/>
          <w:highlight w:val="none"/>
          <w:lang w:eastAsia="zh-CN"/>
        </w:rPr>
        <w:t>。</w:t>
      </w:r>
      <w:r>
        <w:rPr>
          <w:rFonts w:hint="eastAsia" w:ascii="Times New Roman" w:hAnsi="Times New Roman" w:eastAsia="方正仿宋_GBK" w:cs="Times New Roman"/>
          <w:color w:val="auto"/>
          <w:highlight w:val="none"/>
        </w:rPr>
        <w:t>截止202</w:t>
      </w:r>
      <w:r>
        <w:rPr>
          <w:rFonts w:hint="eastAsia" w:eastAsia="方正仿宋_GBK" w:cs="Times New Roman"/>
          <w:color w:val="auto"/>
          <w:highlight w:val="none"/>
          <w:lang w:val="en-US" w:eastAsia="zh-CN"/>
        </w:rPr>
        <w:t>3</w:t>
      </w:r>
      <w:r>
        <w:rPr>
          <w:rFonts w:hint="eastAsia" w:ascii="Times New Roman" w:hAnsi="Times New Roman" w:eastAsia="方正仿宋_GBK" w:cs="Times New Roman"/>
          <w:color w:val="auto"/>
          <w:highlight w:val="none"/>
        </w:rPr>
        <w:t>年12月31日</w:t>
      </w:r>
      <w:r>
        <w:rPr>
          <w:rFonts w:hint="eastAsia" w:ascii="Times New Roman" w:hAnsi="Times New Roman" w:eastAsia="方正仿宋_GBK" w:cs="Times New Roman"/>
          <w:color w:val="auto"/>
          <w:highlight w:val="none"/>
          <w:lang w:eastAsia="zh-CN"/>
        </w:rPr>
        <w:t>，</w:t>
      </w:r>
      <w:r>
        <w:rPr>
          <w:rFonts w:hint="eastAsia" w:ascii="Times New Roman" w:hAnsi="Times New Roman" w:eastAsia="方正仿宋_GBK" w:cs="Times New Roman"/>
          <w:color w:val="auto"/>
          <w:highlight w:val="none"/>
        </w:rPr>
        <w:t>项目实际使用资金</w:t>
      </w:r>
      <w:r>
        <w:rPr>
          <w:rFonts w:hint="eastAsia" w:ascii="Times New Roman" w:hAnsi="Times New Roman" w:eastAsia="方正仿宋_GBK" w:cs="Times New Roman"/>
          <w:color w:val="auto"/>
          <w:highlight w:val="none"/>
          <w:lang w:val="en-US" w:eastAsia="zh-CN"/>
        </w:rPr>
        <w:t>3254.025</w:t>
      </w:r>
      <w:r>
        <w:rPr>
          <w:rFonts w:hint="eastAsia" w:ascii="Times New Roman" w:hAnsi="Times New Roman" w:eastAsia="方正仿宋_GBK" w:cs="Times New Roman"/>
          <w:color w:val="auto"/>
          <w:highlight w:val="none"/>
        </w:rPr>
        <w:t>万元，资金</w:t>
      </w:r>
      <w:r>
        <w:rPr>
          <w:rFonts w:hint="eastAsia" w:ascii="Times New Roman" w:hAnsi="Times New Roman" w:eastAsia="方正仿宋_GBK" w:cs="Times New Roman"/>
          <w:color w:val="auto"/>
          <w:highlight w:val="none"/>
          <w:lang w:val="en-US" w:eastAsia="zh-CN"/>
        </w:rPr>
        <w:t>使用</w:t>
      </w:r>
      <w:r>
        <w:rPr>
          <w:rFonts w:hint="eastAsia" w:ascii="Times New Roman" w:hAnsi="Times New Roman" w:eastAsia="方正仿宋_GBK" w:cs="Times New Roman"/>
          <w:color w:val="auto"/>
          <w:highlight w:val="none"/>
        </w:rPr>
        <w:t>率达到了</w:t>
      </w:r>
      <w:r>
        <w:rPr>
          <w:rFonts w:hint="eastAsia" w:ascii="Times New Roman" w:hAnsi="Times New Roman" w:eastAsia="方正仿宋_GBK" w:cs="Times New Roman"/>
          <w:color w:val="auto"/>
          <w:highlight w:val="none"/>
          <w:lang w:val="en-US" w:eastAsia="zh-CN"/>
        </w:rPr>
        <w:t>100</w:t>
      </w:r>
      <w:r>
        <w:rPr>
          <w:rFonts w:hint="eastAsia" w:ascii="Times New Roman" w:hAnsi="Times New Roman" w:eastAsia="方正仿宋_GBK" w:cs="Times New Roman"/>
          <w:color w:val="auto"/>
          <w:highlight w:val="none"/>
        </w:rPr>
        <w:t>%。</w:t>
      </w:r>
    </w:p>
    <w:p>
      <w:pPr>
        <w:pStyle w:val="2"/>
        <w:bidi w:val="0"/>
        <w:rPr>
          <w:rFonts w:hint="eastAsia" w:ascii="方正仿宋_GBK" w:hAnsi="方正仿宋_GBK" w:eastAsia="方正仿宋_GBK" w:cs="方正仿宋_GBK"/>
          <w:color w:val="auto"/>
          <w:highlight w:val="none"/>
        </w:rPr>
      </w:pPr>
      <w:bookmarkStart w:id="2" w:name="_Toc25187"/>
      <w:r>
        <w:rPr>
          <w:rFonts w:hint="eastAsia" w:ascii="方正仿宋_GBK" w:hAnsi="方正仿宋_GBK" w:eastAsia="方正仿宋_GBK" w:cs="方正仿宋_GBK"/>
          <w:color w:val="auto"/>
          <w:highlight w:val="none"/>
        </w:rPr>
        <w:t>（二）项目绩效目标</w:t>
      </w:r>
      <w:bookmarkEnd w:id="2"/>
    </w:p>
    <w:p>
      <w:pPr>
        <w:bidi w:val="0"/>
        <w:rPr>
          <w:rFonts w:hint="eastAsia" w:ascii="方正仿宋_GBK" w:hAnsi="方正仿宋_GBK" w:eastAsia="方正仿宋_GBK" w:cs="方正仿宋_GBK"/>
          <w:b/>
          <w:bCs/>
          <w:color w:val="auto"/>
          <w:highlight w:val="none"/>
        </w:rPr>
      </w:pPr>
      <w:r>
        <w:rPr>
          <w:rFonts w:hint="eastAsia" w:ascii="Times New Roman" w:hAnsi="Times New Roman" w:eastAsia="方正仿宋_GBK" w:cs="方正仿宋_GBK"/>
          <w:b/>
          <w:bCs/>
          <w:color w:val="auto"/>
          <w:highlight w:val="none"/>
        </w:rPr>
        <w:t>1</w:t>
      </w:r>
      <w:r>
        <w:rPr>
          <w:rFonts w:hint="eastAsia" w:ascii="方正仿宋_GBK" w:hAnsi="方正仿宋_GBK" w:eastAsia="方正仿宋_GBK" w:cs="方正仿宋_GBK"/>
          <w:b/>
          <w:bCs/>
          <w:color w:val="auto"/>
          <w:highlight w:val="none"/>
        </w:rPr>
        <w:t>、总体目标</w:t>
      </w:r>
    </w:p>
    <w:p>
      <w:pPr>
        <w:bidi w:val="0"/>
        <w:rPr>
          <w:rFonts w:hint="eastAsia" w:ascii="方正仿宋_GBK" w:hAnsi="方正仿宋_GBK" w:eastAsia="方正仿宋_GBK" w:cs="方正仿宋_GBK"/>
          <w:color w:val="auto"/>
          <w:highlight w:val="none"/>
        </w:rPr>
      </w:pPr>
      <w:r>
        <w:rPr>
          <w:rFonts w:hint="eastAsia" w:eastAsia="方正仿宋_GBK" w:cs="方正仿宋_GBK"/>
          <w:color w:val="auto"/>
          <w:highlight w:val="none"/>
          <w:lang w:eastAsia="zh-CN"/>
        </w:rPr>
        <w:t>（</w:t>
      </w:r>
      <w:r>
        <w:rPr>
          <w:rFonts w:hint="eastAsia" w:ascii="Times New Roman" w:hAnsi="Times New Roman" w:eastAsia="方正仿宋_GBK" w:cs="方正仿宋_GBK"/>
          <w:color w:val="auto"/>
          <w:highlight w:val="none"/>
        </w:rPr>
        <w:t>1</w:t>
      </w:r>
      <w:r>
        <w:rPr>
          <w:rFonts w:hint="eastAsia" w:ascii="方正仿宋_GBK" w:hAnsi="方正仿宋_GBK" w:eastAsia="方正仿宋_GBK" w:cs="方正仿宋_GBK"/>
          <w:color w:val="auto"/>
          <w:highlight w:val="none"/>
          <w:lang w:eastAsia="zh-CN"/>
        </w:rPr>
        <w:t>）</w:t>
      </w:r>
      <w:r>
        <w:rPr>
          <w:rFonts w:hint="eastAsia" w:ascii="方正仿宋_GBK" w:hAnsi="方正仿宋_GBK" w:eastAsia="方正仿宋_GBK" w:cs="方正仿宋_GBK"/>
          <w:color w:val="auto"/>
          <w:highlight w:val="none"/>
        </w:rPr>
        <w:t>牧民政策性收入稳步增长。畜牧业生产方式不断改善</w:t>
      </w:r>
    </w:p>
    <w:p>
      <w:pPr>
        <w:bidi w:val="0"/>
        <w:rPr>
          <w:rFonts w:hint="eastAsia" w:ascii="Times New Roman" w:hAnsi="Times New Roman" w:eastAsia="方正仿宋_GBK" w:cs="Times New Roman"/>
          <w:color w:val="auto"/>
          <w:highlight w:val="none"/>
          <w:lang w:val="en-US" w:eastAsia="zh-CN"/>
        </w:rPr>
      </w:pPr>
      <w:r>
        <w:rPr>
          <w:rFonts w:hint="eastAsia" w:eastAsia="方正仿宋_GBK" w:cs="方正仿宋_GBK"/>
          <w:color w:val="auto"/>
          <w:highlight w:val="none"/>
          <w:lang w:eastAsia="zh-CN"/>
        </w:rPr>
        <w:t>（</w:t>
      </w:r>
      <w:r>
        <w:rPr>
          <w:rFonts w:hint="eastAsia" w:eastAsia="方正仿宋_GBK" w:cs="方正仿宋_GBK"/>
          <w:color w:val="auto"/>
          <w:highlight w:val="none"/>
          <w:lang w:val="en-US" w:eastAsia="zh-CN"/>
        </w:rPr>
        <w:t>2</w:t>
      </w:r>
      <w:r>
        <w:rPr>
          <w:rFonts w:hint="eastAsia" w:ascii="方正仿宋_GBK" w:hAnsi="方正仿宋_GBK" w:eastAsia="方正仿宋_GBK" w:cs="方正仿宋_GBK"/>
          <w:color w:val="auto"/>
          <w:highlight w:val="none"/>
          <w:lang w:eastAsia="zh-CN"/>
        </w:rPr>
        <w:t>）</w:t>
      </w:r>
      <w:r>
        <w:rPr>
          <w:rFonts w:hint="eastAsia" w:ascii="Times New Roman" w:hAnsi="Times New Roman" w:eastAsia="方正仿宋_GBK" w:cs="Times New Roman"/>
          <w:color w:val="auto"/>
          <w:highlight w:val="none"/>
          <w:lang w:val="en-US" w:eastAsia="zh-CN"/>
        </w:rPr>
        <w:t>实施草原禁牧面积160万亩，草畜平衡面积917.61万亩，保护草原生态</w:t>
      </w:r>
      <w:r>
        <w:rPr>
          <w:rFonts w:hint="eastAsia" w:eastAsia="方正仿宋_GBK" w:cs="Times New Roman"/>
          <w:color w:val="auto"/>
          <w:highlight w:val="none"/>
          <w:lang w:val="en-US" w:eastAsia="zh-CN"/>
        </w:rPr>
        <w:t>。</w:t>
      </w:r>
    </w:p>
    <w:p>
      <w:pPr>
        <w:bidi w:val="0"/>
        <w:rPr>
          <w:rFonts w:hint="eastAsia" w:ascii="方正仿宋_GBK" w:hAnsi="方正仿宋_GBK" w:eastAsia="方正仿宋_GBK" w:cs="方正仿宋_GBK"/>
          <w:b/>
          <w:bCs/>
          <w:color w:val="auto"/>
          <w:highlight w:val="none"/>
          <w:lang w:val="en-US" w:eastAsia="zh-CN"/>
        </w:rPr>
      </w:pPr>
      <w:r>
        <w:rPr>
          <w:rFonts w:hint="eastAsia" w:ascii="Times New Roman" w:hAnsi="Times New Roman" w:eastAsia="方正仿宋_GBK" w:cs="方正仿宋_GBK"/>
          <w:b/>
          <w:bCs/>
          <w:color w:val="auto"/>
          <w:highlight w:val="none"/>
          <w:lang w:val="en-US" w:eastAsia="zh-CN"/>
        </w:rPr>
        <w:t>2</w:t>
      </w:r>
      <w:r>
        <w:rPr>
          <w:rFonts w:hint="eastAsia" w:ascii="方正仿宋_GBK" w:hAnsi="方正仿宋_GBK" w:eastAsia="方正仿宋_GBK" w:cs="方正仿宋_GBK"/>
          <w:b/>
          <w:bCs/>
          <w:color w:val="auto"/>
          <w:highlight w:val="none"/>
          <w:lang w:val="en-US" w:eastAsia="zh-CN"/>
        </w:rPr>
        <w:t>、阶段性目标</w:t>
      </w:r>
    </w:p>
    <w:p>
      <w:pPr>
        <w:pStyle w:val="2"/>
        <w:rPr>
          <w:rFonts w:hint="eastAsia" w:ascii="方正仿宋_GBK" w:hAnsi="方正仿宋_GBK" w:eastAsia="方正仿宋_GBK" w:cs="方正仿宋_GBK"/>
          <w:b w:val="0"/>
          <w:color w:val="auto"/>
          <w:kern w:val="2"/>
          <w:sz w:val="32"/>
          <w:szCs w:val="22"/>
          <w:highlight w:val="none"/>
          <w:lang w:val="en-US" w:eastAsia="zh-CN" w:bidi="ar-SA"/>
        </w:rPr>
      </w:pPr>
      <w:r>
        <w:rPr>
          <w:rFonts w:hint="eastAsia" w:ascii="方正仿宋_GBK" w:hAnsi="方正仿宋_GBK" w:eastAsia="方正仿宋_GBK" w:cs="方正仿宋_GBK"/>
          <w:b w:val="0"/>
          <w:color w:val="auto"/>
          <w:kern w:val="2"/>
          <w:sz w:val="32"/>
          <w:szCs w:val="22"/>
          <w:highlight w:val="none"/>
          <w:lang w:val="en-US" w:eastAsia="zh-CN" w:bidi="ar-SA"/>
        </w:rPr>
        <w:t>（</w:t>
      </w:r>
      <w:r>
        <w:rPr>
          <w:rFonts w:hint="eastAsia" w:ascii="Times New Roman" w:hAnsi="Times New Roman" w:eastAsia="方正仿宋_GBK" w:cs="方正仿宋_GBK"/>
          <w:b w:val="0"/>
          <w:color w:val="auto"/>
          <w:kern w:val="2"/>
          <w:sz w:val="32"/>
          <w:szCs w:val="22"/>
          <w:highlight w:val="none"/>
          <w:lang w:val="en-US" w:eastAsia="zh-CN" w:bidi="ar-SA"/>
        </w:rPr>
        <w:t>1</w:t>
      </w:r>
      <w:r>
        <w:rPr>
          <w:rFonts w:hint="eastAsia" w:ascii="方正仿宋_GBK" w:hAnsi="方正仿宋_GBK" w:eastAsia="方正仿宋_GBK" w:cs="方正仿宋_GBK"/>
          <w:b w:val="0"/>
          <w:color w:val="auto"/>
          <w:kern w:val="2"/>
          <w:sz w:val="32"/>
          <w:szCs w:val="22"/>
          <w:highlight w:val="none"/>
          <w:lang w:val="en-US" w:eastAsia="zh-CN" w:bidi="ar-SA"/>
        </w:rPr>
        <w:t>）实施草原禁牧面</w:t>
      </w:r>
      <w:r>
        <w:rPr>
          <w:rFonts w:hint="eastAsia" w:ascii="Times New Roman" w:hAnsi="Times New Roman" w:eastAsia="方正仿宋_GBK" w:cs="Times New Roman"/>
          <w:b w:val="0"/>
          <w:color w:val="auto"/>
          <w:kern w:val="2"/>
          <w:sz w:val="32"/>
          <w:szCs w:val="22"/>
          <w:highlight w:val="none"/>
          <w:lang w:val="en-US" w:eastAsia="zh-CN" w:bidi="ar-SA"/>
        </w:rPr>
        <w:t>积160万亩</w:t>
      </w:r>
    </w:p>
    <w:p>
      <w:pPr>
        <w:pStyle w:val="2"/>
        <w:rPr>
          <w:rFonts w:hint="eastAsia" w:ascii="Times New Roman" w:hAnsi="Times New Roman" w:eastAsia="方正仿宋_GBK" w:cs="Times New Roman"/>
          <w:b w:val="0"/>
          <w:color w:val="auto"/>
          <w:kern w:val="2"/>
          <w:sz w:val="32"/>
          <w:szCs w:val="22"/>
          <w:highlight w:val="none"/>
          <w:lang w:val="en-US" w:eastAsia="zh-CN" w:bidi="ar-SA"/>
        </w:rPr>
      </w:pPr>
      <w:r>
        <w:rPr>
          <w:rFonts w:hint="eastAsia" w:ascii="方正仿宋_GBK" w:hAnsi="方正仿宋_GBK" w:eastAsia="方正仿宋_GBK" w:cs="方正仿宋_GBK"/>
          <w:b w:val="0"/>
          <w:color w:val="auto"/>
          <w:kern w:val="2"/>
          <w:sz w:val="32"/>
          <w:szCs w:val="22"/>
          <w:highlight w:val="none"/>
          <w:lang w:val="en-US" w:eastAsia="zh-CN" w:bidi="ar-SA"/>
        </w:rPr>
        <w:t>（</w:t>
      </w:r>
      <w:r>
        <w:rPr>
          <w:rFonts w:hint="eastAsia" w:ascii="Times New Roman" w:hAnsi="Times New Roman" w:eastAsia="方正仿宋_GBK" w:cs="方正仿宋_GBK"/>
          <w:b w:val="0"/>
          <w:color w:val="auto"/>
          <w:kern w:val="2"/>
          <w:sz w:val="32"/>
          <w:szCs w:val="22"/>
          <w:highlight w:val="none"/>
          <w:lang w:val="en-US" w:eastAsia="zh-CN" w:bidi="ar-SA"/>
        </w:rPr>
        <w:t>2</w:t>
      </w:r>
      <w:r>
        <w:rPr>
          <w:rFonts w:hint="eastAsia" w:ascii="方正仿宋_GBK" w:hAnsi="方正仿宋_GBK" w:eastAsia="方正仿宋_GBK" w:cs="方正仿宋_GBK"/>
          <w:b w:val="0"/>
          <w:color w:val="auto"/>
          <w:kern w:val="2"/>
          <w:sz w:val="32"/>
          <w:szCs w:val="22"/>
          <w:highlight w:val="none"/>
          <w:lang w:val="en-US" w:eastAsia="zh-CN" w:bidi="ar-SA"/>
        </w:rPr>
        <w:t>）实施草畜平衡面</w:t>
      </w:r>
      <w:r>
        <w:rPr>
          <w:rFonts w:hint="eastAsia" w:ascii="Times New Roman" w:hAnsi="Times New Roman" w:eastAsia="方正仿宋_GBK" w:cs="Times New Roman"/>
          <w:b w:val="0"/>
          <w:color w:val="auto"/>
          <w:kern w:val="2"/>
          <w:sz w:val="32"/>
          <w:szCs w:val="22"/>
          <w:highlight w:val="none"/>
          <w:lang w:val="en-US" w:eastAsia="zh-CN" w:bidi="ar-SA"/>
        </w:rPr>
        <w:t>积917.61万亩</w:t>
      </w:r>
    </w:p>
    <w:p>
      <w:pPr>
        <w:pStyle w:val="2"/>
        <w:rPr>
          <w:rFonts w:hint="default" w:ascii="Times New Roman" w:hAnsi="Times New Roman" w:eastAsia="方正仿宋_GBK" w:cs="Times New Roman"/>
          <w:b w:val="0"/>
          <w:color w:val="auto"/>
          <w:kern w:val="2"/>
          <w:sz w:val="32"/>
          <w:szCs w:val="22"/>
          <w:highlight w:val="none"/>
          <w:lang w:val="en-US" w:eastAsia="zh-CN" w:bidi="ar-SA"/>
        </w:rPr>
      </w:pPr>
      <w:r>
        <w:rPr>
          <w:rFonts w:hint="eastAsia" w:ascii="方正仿宋_GBK" w:hAnsi="方正仿宋_GBK" w:eastAsia="方正仿宋_GBK" w:cs="方正仿宋_GBK"/>
          <w:b w:val="0"/>
          <w:color w:val="auto"/>
          <w:kern w:val="2"/>
          <w:sz w:val="32"/>
          <w:szCs w:val="22"/>
          <w:highlight w:val="none"/>
          <w:lang w:val="en-US" w:eastAsia="zh-CN" w:bidi="ar-SA"/>
        </w:rPr>
        <w:t>（</w:t>
      </w:r>
      <w:r>
        <w:rPr>
          <w:rFonts w:hint="eastAsia" w:ascii="Times New Roman" w:hAnsi="Times New Roman" w:eastAsia="方正仿宋_GBK" w:cs="方正仿宋_GBK"/>
          <w:b w:val="0"/>
          <w:color w:val="auto"/>
          <w:kern w:val="2"/>
          <w:sz w:val="32"/>
          <w:szCs w:val="22"/>
          <w:highlight w:val="none"/>
          <w:lang w:val="en-US" w:eastAsia="zh-CN" w:bidi="ar-SA"/>
        </w:rPr>
        <w:t>3</w:t>
      </w:r>
      <w:r>
        <w:rPr>
          <w:rFonts w:hint="eastAsia" w:ascii="方正仿宋_GBK" w:hAnsi="方正仿宋_GBK" w:eastAsia="方正仿宋_GBK" w:cs="方正仿宋_GBK"/>
          <w:b w:val="0"/>
          <w:color w:val="auto"/>
          <w:kern w:val="2"/>
          <w:sz w:val="32"/>
          <w:szCs w:val="22"/>
          <w:highlight w:val="none"/>
          <w:lang w:val="en-US" w:eastAsia="zh-CN" w:bidi="ar-SA"/>
        </w:rPr>
        <w:t>）补贴资金到户率</w:t>
      </w:r>
      <w:r>
        <w:rPr>
          <w:rFonts w:hint="eastAsia" w:ascii="Times New Roman" w:hAnsi="Times New Roman" w:eastAsia="方正仿宋_GBK" w:cs="Times New Roman"/>
          <w:b w:val="0"/>
          <w:color w:val="auto"/>
          <w:kern w:val="2"/>
          <w:sz w:val="32"/>
          <w:szCs w:val="22"/>
          <w:highlight w:val="none"/>
          <w:lang w:val="en-US" w:eastAsia="zh-CN" w:bidi="ar-SA"/>
        </w:rPr>
        <w:t>100%</w:t>
      </w:r>
    </w:p>
    <w:p>
      <w:pPr>
        <w:pStyle w:val="4"/>
        <w:bidi w:val="0"/>
        <w:rPr>
          <w:rFonts w:hint="eastAsia" w:ascii="方正仿宋_GBK" w:hAnsi="方正仿宋_GBK" w:eastAsia="方正仿宋_GBK" w:cs="方正仿宋_GBK"/>
          <w:color w:val="auto"/>
          <w:highlight w:val="none"/>
        </w:rPr>
      </w:pPr>
      <w:bookmarkStart w:id="3" w:name="_Toc28824"/>
      <w:r>
        <w:rPr>
          <w:rFonts w:hint="eastAsia" w:ascii="方正仿宋_GBK" w:hAnsi="方正仿宋_GBK" w:eastAsia="方正仿宋_GBK" w:cs="方正仿宋_GBK"/>
          <w:color w:val="auto"/>
          <w:highlight w:val="none"/>
        </w:rPr>
        <w:t>二、绩效评价工作开展情况</w:t>
      </w:r>
      <w:bookmarkEnd w:id="3"/>
    </w:p>
    <w:p>
      <w:pPr>
        <w:pStyle w:val="2"/>
        <w:bidi w:val="0"/>
        <w:rPr>
          <w:rFonts w:hint="eastAsia" w:ascii="方正仿宋_GBK" w:hAnsi="方正仿宋_GBK" w:eastAsia="方正仿宋_GBK" w:cs="方正仿宋_GBK"/>
          <w:color w:val="auto"/>
          <w:highlight w:val="none"/>
        </w:rPr>
      </w:pPr>
      <w:bookmarkStart w:id="4" w:name="_Toc24175"/>
      <w:r>
        <w:rPr>
          <w:rFonts w:hint="eastAsia" w:ascii="方正仿宋_GBK" w:hAnsi="方正仿宋_GBK" w:eastAsia="方正仿宋_GBK" w:cs="方正仿宋_GBK"/>
          <w:color w:val="auto"/>
          <w:highlight w:val="none"/>
        </w:rPr>
        <w:t>（一）绩效评价目的、对象和范围</w:t>
      </w:r>
      <w:bookmarkEnd w:id="4"/>
    </w:p>
    <w:p>
      <w:pPr>
        <w:bidi w:val="0"/>
        <w:rPr>
          <w:rFonts w:hint="eastAsia" w:ascii="方正仿宋_GBK" w:hAnsi="方正仿宋_GBK" w:eastAsia="方正仿宋_GBK" w:cs="方正仿宋_GBK"/>
          <w:b/>
          <w:bCs/>
          <w:color w:val="auto"/>
          <w:highlight w:val="none"/>
        </w:rPr>
      </w:pPr>
      <w:r>
        <w:rPr>
          <w:rFonts w:hint="eastAsia" w:ascii="Times New Roman" w:hAnsi="Times New Roman" w:eastAsia="方正仿宋_GBK" w:cs="方正仿宋_GBK"/>
          <w:b/>
          <w:bCs/>
          <w:color w:val="auto"/>
          <w:highlight w:val="none"/>
        </w:rPr>
        <w:t>1</w:t>
      </w:r>
      <w:r>
        <w:rPr>
          <w:rFonts w:hint="eastAsia" w:ascii="方正仿宋_GBK" w:hAnsi="方正仿宋_GBK" w:eastAsia="方正仿宋_GBK" w:cs="方正仿宋_GBK"/>
          <w:b/>
          <w:bCs/>
          <w:color w:val="auto"/>
          <w:highlight w:val="none"/>
        </w:rPr>
        <w:t>、绩效评价的目的</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本次绩效评价遵循财政部《关于印发&lt;项目支出绩效评价管理办法&gt;的通知》（</w:t>
      </w:r>
      <w:r>
        <w:rPr>
          <w:rFonts w:hint="eastAsia" w:ascii="Times New Roman" w:hAnsi="Times New Roman" w:eastAsia="方正仿宋_GBK" w:cs="Times New Roman"/>
          <w:b w:val="0"/>
          <w:color w:val="auto"/>
          <w:kern w:val="2"/>
          <w:sz w:val="32"/>
          <w:szCs w:val="22"/>
          <w:highlight w:val="none"/>
          <w:lang w:val="en-US" w:eastAsia="zh-CN" w:bidi="ar-SA"/>
        </w:rPr>
        <w:t>财预〔2020〕10号）</w:t>
      </w:r>
      <w:r>
        <w:rPr>
          <w:rFonts w:hint="eastAsia" w:ascii="方正仿宋_GBK" w:hAnsi="方正仿宋_GBK" w:eastAsia="方正仿宋_GBK" w:cs="方正仿宋_GBK"/>
          <w:color w:val="auto"/>
          <w:highlight w:val="none"/>
        </w:rPr>
        <w:t>文件精神，对</w:t>
      </w:r>
      <w:r>
        <w:rPr>
          <w:rFonts w:hint="eastAsia" w:ascii="Times New Roman" w:hAnsi="Times New Roman" w:eastAsia="方正仿宋_GBK" w:cs="Times New Roman"/>
          <w:b w:val="0"/>
          <w:color w:val="auto"/>
          <w:kern w:val="2"/>
          <w:sz w:val="32"/>
          <w:szCs w:val="22"/>
          <w:highlight w:val="none"/>
          <w:lang w:val="en-US" w:eastAsia="zh-CN" w:bidi="ar-SA"/>
        </w:rPr>
        <w:t>2023年草原生态保护补助奖</w:t>
      </w:r>
      <w:r>
        <w:rPr>
          <w:rFonts w:hint="eastAsia" w:ascii="方正仿宋_GBK" w:hAnsi="方正仿宋_GBK" w:eastAsia="方正仿宋_GBK" w:cs="方正仿宋_GBK"/>
          <w:color w:val="auto"/>
          <w:highlight w:val="none"/>
          <w:lang w:eastAsia="zh-CN"/>
        </w:rPr>
        <w:t>励资金</w:t>
      </w:r>
      <w:r>
        <w:rPr>
          <w:rFonts w:hint="eastAsia" w:ascii="方正仿宋_GBK" w:hAnsi="方正仿宋_GBK" w:eastAsia="方正仿宋_GBK" w:cs="方正仿宋_GBK"/>
          <w:color w:val="auto"/>
          <w:highlight w:val="none"/>
          <w:lang w:val="en-US" w:eastAsia="zh-CN"/>
        </w:rPr>
        <w:t>项目</w:t>
      </w:r>
      <w:r>
        <w:rPr>
          <w:rFonts w:hint="eastAsia" w:ascii="方正仿宋_GBK" w:hAnsi="方正仿宋_GBK" w:eastAsia="方正仿宋_GBK" w:cs="方正仿宋_GBK"/>
          <w:color w:val="auto"/>
          <w:highlight w:val="none"/>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pPr>
        <w:bidi w:val="0"/>
        <w:rPr>
          <w:rFonts w:hint="eastAsia" w:ascii="方正仿宋_GBK" w:hAnsi="方正仿宋_GBK" w:eastAsia="方正仿宋_GBK" w:cs="方正仿宋_GBK"/>
          <w:b/>
          <w:bCs/>
          <w:color w:val="auto"/>
          <w:highlight w:val="none"/>
        </w:rPr>
      </w:pPr>
      <w:r>
        <w:rPr>
          <w:rFonts w:hint="eastAsia" w:ascii="Times New Roman" w:hAnsi="Times New Roman" w:eastAsia="方正仿宋_GBK" w:cs="方正仿宋_GBK"/>
          <w:b/>
          <w:bCs/>
          <w:color w:val="auto"/>
          <w:highlight w:val="none"/>
        </w:rPr>
        <w:t>2</w:t>
      </w:r>
      <w:r>
        <w:rPr>
          <w:rFonts w:hint="eastAsia" w:ascii="方正仿宋_GBK" w:hAnsi="方正仿宋_GBK" w:eastAsia="方正仿宋_GBK" w:cs="方正仿宋_GBK"/>
          <w:b/>
          <w:bCs/>
          <w:color w:val="auto"/>
          <w:highlight w:val="none"/>
        </w:rPr>
        <w:t>、绩效评价的对象和范围</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根据《财政支出绩效评价管理办法》（</w:t>
      </w:r>
      <w:r>
        <w:rPr>
          <w:rFonts w:hint="eastAsia" w:ascii="Times New Roman" w:hAnsi="Times New Roman" w:eastAsia="方正仿宋_GBK" w:cs="Times New Roman"/>
          <w:b w:val="0"/>
          <w:color w:val="auto"/>
          <w:kern w:val="2"/>
          <w:sz w:val="32"/>
          <w:szCs w:val="22"/>
          <w:highlight w:val="none"/>
          <w:lang w:val="en-US" w:eastAsia="zh-CN" w:bidi="ar-SA"/>
        </w:rPr>
        <w:t>财预〔2020〕10</w:t>
      </w:r>
      <w:r>
        <w:rPr>
          <w:rFonts w:hint="eastAsia" w:ascii="方正仿宋_GBK" w:hAnsi="方正仿宋_GBK" w:eastAsia="方正仿宋_GBK" w:cs="方正仿宋_GBK"/>
          <w:color w:val="auto"/>
          <w:highlight w:val="none"/>
        </w:rPr>
        <w:t>号）文件要求，对</w:t>
      </w:r>
      <w:r>
        <w:rPr>
          <w:rFonts w:hint="eastAsia" w:ascii="Times New Roman" w:hAnsi="Times New Roman" w:eastAsia="方正仿宋_GBK" w:cs="Times New Roman"/>
          <w:b w:val="0"/>
          <w:color w:val="auto"/>
          <w:kern w:val="2"/>
          <w:sz w:val="32"/>
          <w:szCs w:val="22"/>
          <w:highlight w:val="none"/>
          <w:lang w:val="en-US" w:eastAsia="zh-CN" w:bidi="ar-SA"/>
        </w:rPr>
        <w:t>2023年草原</w:t>
      </w:r>
      <w:r>
        <w:rPr>
          <w:rFonts w:hint="eastAsia" w:ascii="方正仿宋_GBK" w:hAnsi="方正仿宋_GBK" w:eastAsia="方正仿宋_GBK" w:cs="方正仿宋_GBK"/>
          <w:color w:val="auto"/>
          <w:highlight w:val="none"/>
          <w:lang w:eastAsia="zh-CN"/>
        </w:rPr>
        <w:t>生态保护补助奖励资金项目</w:t>
      </w:r>
      <w:r>
        <w:rPr>
          <w:rFonts w:hint="eastAsia" w:ascii="方正仿宋_GBK" w:hAnsi="方正仿宋_GBK" w:eastAsia="方正仿宋_GBK" w:cs="方正仿宋_GBK"/>
          <w:color w:val="auto"/>
          <w:highlight w:val="none"/>
        </w:rPr>
        <w:t>开展绩效评价，本次绩效评价范围主要围绕项目决策（包括项目实施、绩效目标、资金投入）、项目过程（包括资金管理、组织实施）、项目产出（包括产出数量、质量、时效、成本）和项目效益等进行评价。</w:t>
      </w:r>
    </w:p>
    <w:p>
      <w:pPr>
        <w:pStyle w:val="2"/>
        <w:bidi w:val="0"/>
        <w:rPr>
          <w:rFonts w:hint="eastAsia" w:ascii="方正仿宋_GBK" w:hAnsi="方正仿宋_GBK" w:eastAsia="方正仿宋_GBK" w:cs="方正仿宋_GBK"/>
          <w:color w:val="auto"/>
          <w:highlight w:val="none"/>
        </w:rPr>
      </w:pPr>
      <w:bookmarkStart w:id="5" w:name="_Toc5109"/>
      <w:r>
        <w:rPr>
          <w:rFonts w:hint="eastAsia" w:ascii="方正仿宋_GBK" w:hAnsi="方正仿宋_GBK" w:eastAsia="方正仿宋_GBK" w:cs="方正仿宋_GBK"/>
          <w:color w:val="auto"/>
          <w:highlight w:val="none"/>
        </w:rPr>
        <w:t>（二）绩效评价原则、评价指标体系、评价方法、评价标准</w:t>
      </w:r>
      <w:bookmarkEnd w:id="5"/>
    </w:p>
    <w:p>
      <w:pPr>
        <w:bidi w:val="0"/>
        <w:rPr>
          <w:rFonts w:hint="eastAsia" w:ascii="方正仿宋_GBK" w:hAnsi="方正仿宋_GBK" w:eastAsia="方正仿宋_GBK" w:cs="方正仿宋_GBK"/>
          <w:b/>
          <w:bCs/>
          <w:color w:val="auto"/>
          <w:highlight w:val="none"/>
        </w:rPr>
      </w:pPr>
      <w:r>
        <w:rPr>
          <w:rFonts w:hint="eastAsia" w:ascii="Times New Roman" w:hAnsi="Times New Roman" w:eastAsia="方正仿宋_GBK" w:cs="方正仿宋_GBK"/>
          <w:b/>
          <w:bCs/>
          <w:color w:val="auto"/>
          <w:highlight w:val="none"/>
        </w:rPr>
        <w:t>1</w:t>
      </w:r>
      <w:r>
        <w:rPr>
          <w:rFonts w:hint="eastAsia" w:ascii="方正仿宋_GBK" w:hAnsi="方正仿宋_GBK" w:eastAsia="方正仿宋_GBK" w:cs="方正仿宋_GBK"/>
          <w:b/>
          <w:bCs/>
          <w:color w:val="auto"/>
          <w:highlight w:val="none"/>
        </w:rPr>
        <w:t>、绩效评价原则</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w:t>
      </w:r>
      <w:r>
        <w:rPr>
          <w:rFonts w:hint="eastAsia" w:ascii="Times New Roman" w:hAnsi="Times New Roman" w:eastAsia="方正仿宋_GBK" w:cs="方正仿宋_GBK"/>
          <w:color w:val="auto"/>
          <w:highlight w:val="none"/>
        </w:rPr>
        <w:t>1</w:t>
      </w:r>
      <w:r>
        <w:rPr>
          <w:rFonts w:hint="eastAsia" w:ascii="方正仿宋_GBK" w:hAnsi="方正仿宋_GBK" w:eastAsia="方正仿宋_GBK" w:cs="方正仿宋_GBK"/>
          <w:color w:val="auto"/>
          <w:highlight w:val="none"/>
        </w:rPr>
        <w:t>）科学公正。绩效评价运用科学合理的方法，按照规范的程序，对项目绩效进行客观、公正的反映。</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w:t>
      </w:r>
      <w:r>
        <w:rPr>
          <w:rFonts w:hint="eastAsia" w:ascii="Times New Roman" w:hAnsi="Times New Roman" w:eastAsia="方正仿宋_GBK" w:cs="方正仿宋_GBK"/>
          <w:color w:val="auto"/>
          <w:highlight w:val="none"/>
        </w:rPr>
        <w:t>2</w:t>
      </w:r>
      <w:r>
        <w:rPr>
          <w:rFonts w:hint="eastAsia" w:ascii="方正仿宋_GBK" w:hAnsi="方正仿宋_GBK" w:eastAsia="方正仿宋_GBK" w:cs="方正仿宋_GBK"/>
          <w:color w:val="auto"/>
          <w:highlight w:val="none"/>
        </w:rPr>
        <w:t>）统筹兼顾。单位自评由项目单位自主实施，即“谁支出、谁自评”。</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w:t>
      </w:r>
      <w:r>
        <w:rPr>
          <w:rFonts w:hint="eastAsia" w:ascii="Times New Roman" w:hAnsi="Times New Roman" w:eastAsia="方正仿宋_GBK" w:cs="方正仿宋_GBK"/>
          <w:color w:val="auto"/>
          <w:highlight w:val="none"/>
        </w:rPr>
        <w:t>3</w:t>
      </w:r>
      <w:r>
        <w:rPr>
          <w:rFonts w:hint="eastAsia" w:ascii="方正仿宋_GBK" w:hAnsi="方正仿宋_GBK" w:eastAsia="方正仿宋_GBK" w:cs="方正仿宋_GBK"/>
          <w:color w:val="auto"/>
          <w:highlight w:val="none"/>
        </w:rPr>
        <w:t>）激励约束。绩效评价结果与预算安排、政策调整、改进管理实质性挂钩，体现奖优罚劣和激励相容导向，有效要安排、低效要压减、无效要问责。</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w:t>
      </w:r>
      <w:r>
        <w:rPr>
          <w:rFonts w:hint="eastAsia" w:ascii="Times New Roman" w:hAnsi="Times New Roman" w:eastAsia="方正仿宋_GBK" w:cs="方正仿宋_GBK"/>
          <w:color w:val="auto"/>
          <w:highlight w:val="none"/>
        </w:rPr>
        <w:t>4</w:t>
      </w:r>
      <w:r>
        <w:rPr>
          <w:rFonts w:hint="eastAsia" w:ascii="方正仿宋_GBK" w:hAnsi="方正仿宋_GBK" w:eastAsia="方正仿宋_GBK" w:cs="方正仿宋_GBK"/>
          <w:color w:val="auto"/>
          <w:highlight w:val="none"/>
        </w:rPr>
        <w:t>）公开透明。</w:t>
      </w:r>
      <w:bookmarkStart w:id="6" w:name="_Toc23112"/>
      <w:bookmarkStart w:id="7" w:name="_Toc30993"/>
      <w:r>
        <w:rPr>
          <w:rFonts w:hint="eastAsia" w:ascii="方正仿宋_GBK" w:hAnsi="方正仿宋_GBK" w:eastAsia="方正仿宋_GBK" w:cs="方正仿宋_GBK"/>
          <w:color w:val="auto"/>
          <w:highlight w:val="none"/>
        </w:rPr>
        <w:t>本次项目支出绩效评价结果已依法依规</w:t>
      </w:r>
      <w:r>
        <w:rPr>
          <w:rFonts w:hint="eastAsia"/>
          <w:color w:val="auto"/>
          <w:highlight w:val="none"/>
          <w:lang w:eastAsia="zh-CN"/>
        </w:rPr>
        <w:t>进行</w:t>
      </w:r>
      <w:r>
        <w:rPr>
          <w:rFonts w:hint="eastAsia"/>
          <w:color w:val="auto"/>
          <w:highlight w:val="none"/>
        </w:rPr>
        <w:t>公开</w:t>
      </w:r>
      <w:r>
        <w:rPr>
          <w:rFonts w:hint="eastAsia" w:ascii="方正仿宋_GBK" w:hAnsi="方正仿宋_GBK" w:eastAsia="方正仿宋_GBK" w:cs="方正仿宋_GBK"/>
          <w:color w:val="auto"/>
          <w:highlight w:val="none"/>
        </w:rPr>
        <w:t>，并自觉接受社会监督。</w:t>
      </w:r>
    </w:p>
    <w:p>
      <w:pPr>
        <w:bidi w:val="0"/>
        <w:rPr>
          <w:rFonts w:hint="eastAsia" w:ascii="方正仿宋_GBK" w:hAnsi="方正仿宋_GBK" w:eastAsia="方正仿宋_GBK" w:cs="方正仿宋_GBK"/>
          <w:b/>
          <w:bCs/>
          <w:color w:val="auto"/>
          <w:highlight w:val="none"/>
        </w:rPr>
      </w:pPr>
      <w:r>
        <w:rPr>
          <w:rFonts w:hint="eastAsia" w:ascii="Times New Roman" w:hAnsi="Times New Roman" w:eastAsia="方正仿宋_GBK" w:cs="方正仿宋_GBK"/>
          <w:b/>
          <w:bCs/>
          <w:color w:val="auto"/>
          <w:highlight w:val="none"/>
        </w:rPr>
        <w:t>2</w:t>
      </w:r>
      <w:r>
        <w:rPr>
          <w:rFonts w:hint="eastAsia" w:ascii="方正仿宋_GBK" w:hAnsi="方正仿宋_GBK" w:eastAsia="方正仿宋_GBK" w:cs="方正仿宋_GBK"/>
          <w:b/>
          <w:bCs/>
          <w:color w:val="auto"/>
          <w:highlight w:val="none"/>
        </w:rPr>
        <w:t>、评价指标体系</w:t>
      </w:r>
      <w:bookmarkEnd w:id="6"/>
      <w:bookmarkEnd w:id="7"/>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lang w:eastAsia="zh-CN"/>
        </w:rPr>
        <w:t>草原生态保护补助奖励资金</w:t>
      </w:r>
      <w:r>
        <w:rPr>
          <w:rFonts w:hint="eastAsia" w:ascii="方正仿宋_GBK" w:hAnsi="方正仿宋_GBK" w:eastAsia="方正仿宋_GBK" w:cs="方正仿宋_GBK"/>
          <w:color w:val="auto"/>
          <w:highlight w:val="none"/>
        </w:rPr>
        <w:t>绩效评价（部门自评）指标体系的设计，是在充分掌握项目状况的基础上，形成了</w:t>
      </w:r>
      <w:r>
        <w:rPr>
          <w:rFonts w:hint="eastAsia" w:ascii="方正仿宋_GBK" w:hAnsi="方正仿宋_GBK" w:eastAsia="方正仿宋_GBK" w:cs="方正仿宋_GBK"/>
          <w:color w:val="auto"/>
          <w:highlight w:val="none"/>
          <w:lang w:eastAsia="zh-CN"/>
        </w:rPr>
        <w:t>尉犁县草原生态保护补助奖励资金</w:t>
      </w:r>
      <w:r>
        <w:rPr>
          <w:rFonts w:hint="eastAsia" w:ascii="方正仿宋_GBK" w:hAnsi="方正仿宋_GBK" w:eastAsia="方正仿宋_GBK" w:cs="方正仿宋_GBK"/>
          <w:color w:val="auto"/>
          <w:highlight w:val="none"/>
        </w:rPr>
        <w:t>的项目支出绩效评价指标体系（部门自评）。本项目设计绩效评价指标体系满</w:t>
      </w:r>
      <w:r>
        <w:rPr>
          <w:rFonts w:hint="eastAsia" w:ascii="Times New Roman" w:hAnsi="Times New Roman" w:eastAsia="方正仿宋_GBK" w:cs="Times New Roman"/>
          <w:b w:val="0"/>
          <w:color w:val="auto"/>
          <w:kern w:val="2"/>
          <w:sz w:val="32"/>
          <w:szCs w:val="22"/>
          <w:highlight w:val="none"/>
          <w:lang w:val="en-US" w:eastAsia="zh-CN" w:bidi="ar-SA"/>
        </w:rPr>
        <w:t>分100分。四个级别分别是：优、良、中、差，90（含）-100分为优、80（含）-90分为良、60（含）-80分为中、60分以下为差</w:t>
      </w:r>
      <w:r>
        <w:rPr>
          <w:rFonts w:hint="eastAsia" w:ascii="方正仿宋_GBK" w:hAnsi="方正仿宋_GBK" w:eastAsia="方正仿宋_GBK" w:cs="方正仿宋_GBK"/>
          <w:color w:val="auto"/>
          <w:highlight w:val="none"/>
        </w:rPr>
        <w:t>。</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按照财</w:t>
      </w:r>
      <w:r>
        <w:rPr>
          <w:rFonts w:hint="eastAsia" w:ascii="Times New Roman" w:hAnsi="Times New Roman" w:eastAsia="方正仿宋_GBK" w:cs="Times New Roman"/>
          <w:b w:val="0"/>
          <w:color w:val="auto"/>
          <w:kern w:val="2"/>
          <w:sz w:val="32"/>
          <w:szCs w:val="22"/>
          <w:highlight w:val="none"/>
          <w:lang w:val="en-US" w:eastAsia="zh-CN" w:bidi="ar-SA"/>
        </w:rPr>
        <w:t>预〔2020〕10号文件关于“原则上产出、效益指标权重不低于60%”的要求，本项目产出、效益指标权重60%（即60分）。具体如下</w:t>
      </w:r>
      <w:r>
        <w:rPr>
          <w:rFonts w:hint="eastAsia" w:ascii="方正仿宋_GBK" w:hAnsi="方正仿宋_GBK" w:eastAsia="方正仿宋_GBK" w:cs="方正仿宋_GBK"/>
          <w:color w:val="auto"/>
          <w:highlight w:val="none"/>
        </w:rPr>
        <w:t>：</w:t>
      </w:r>
    </w:p>
    <w:p>
      <w:pPr>
        <w:rPr>
          <w:color w:val="auto"/>
          <w:highlight w:val="none"/>
        </w:rPr>
      </w:pPr>
      <w:bookmarkStart w:id="8" w:name="_Toc4156"/>
      <w:bookmarkStart w:id="9" w:name="_Toc15680"/>
      <w:r>
        <w:rPr>
          <w:color w:val="auto"/>
          <w:highlight w:val="none"/>
        </w:rPr>
        <w:br w:type="page"/>
      </w:r>
    </w:p>
    <w:tbl>
      <w:tblPr>
        <w:tblStyle w:val="10"/>
        <w:tblpPr w:leftFromText="180" w:rightFromText="180" w:vertAnchor="text" w:horzAnchor="page" w:tblpXSpec="center" w:tblpY="180"/>
        <w:tblOverlap w:val="never"/>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1091"/>
        <w:gridCol w:w="840"/>
        <w:gridCol w:w="1532"/>
        <w:gridCol w:w="3782"/>
        <w:gridCol w:w="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shd w:val="clear" w:color="auto" w:fill="FFFFFF"/>
            <w:vAlign w:val="center"/>
          </w:tcPr>
          <w:p>
            <w:pPr>
              <w:pStyle w:val="13"/>
              <w:bidi w:val="0"/>
              <w:rPr>
                <w:color w:val="auto"/>
                <w:sz w:val="18"/>
                <w:szCs w:val="20"/>
                <w:highlight w:val="none"/>
              </w:rPr>
            </w:pPr>
            <w:r>
              <w:rPr>
                <w:color w:val="auto"/>
                <w:sz w:val="18"/>
                <w:szCs w:val="20"/>
                <w:highlight w:val="none"/>
              </w:rPr>
              <w:t>一级指标</w:t>
            </w:r>
          </w:p>
        </w:tc>
        <w:tc>
          <w:tcPr>
            <w:tcW w:w="1091" w:type="dxa"/>
            <w:shd w:val="clear" w:color="auto" w:fill="FFFFFF"/>
            <w:vAlign w:val="center"/>
          </w:tcPr>
          <w:p>
            <w:pPr>
              <w:pStyle w:val="13"/>
              <w:bidi w:val="0"/>
              <w:rPr>
                <w:color w:val="auto"/>
                <w:sz w:val="18"/>
                <w:szCs w:val="20"/>
                <w:highlight w:val="none"/>
              </w:rPr>
            </w:pPr>
            <w:r>
              <w:rPr>
                <w:color w:val="auto"/>
                <w:sz w:val="18"/>
                <w:szCs w:val="20"/>
                <w:highlight w:val="none"/>
              </w:rPr>
              <w:t>二级指标</w:t>
            </w:r>
          </w:p>
        </w:tc>
        <w:tc>
          <w:tcPr>
            <w:tcW w:w="840" w:type="dxa"/>
            <w:shd w:val="clear" w:color="auto" w:fill="FFFFFF"/>
            <w:vAlign w:val="center"/>
          </w:tcPr>
          <w:p>
            <w:pPr>
              <w:pStyle w:val="13"/>
              <w:bidi w:val="0"/>
              <w:rPr>
                <w:color w:val="auto"/>
                <w:sz w:val="18"/>
                <w:szCs w:val="20"/>
                <w:highlight w:val="none"/>
              </w:rPr>
            </w:pPr>
            <w:r>
              <w:rPr>
                <w:color w:val="auto"/>
                <w:sz w:val="18"/>
                <w:szCs w:val="20"/>
                <w:highlight w:val="none"/>
              </w:rPr>
              <w:t>三级指标</w:t>
            </w:r>
          </w:p>
        </w:tc>
        <w:tc>
          <w:tcPr>
            <w:tcW w:w="1532" w:type="dxa"/>
            <w:shd w:val="clear" w:color="auto" w:fill="FFFFFF"/>
            <w:vAlign w:val="center"/>
          </w:tcPr>
          <w:p>
            <w:pPr>
              <w:pStyle w:val="13"/>
              <w:bidi w:val="0"/>
              <w:rPr>
                <w:color w:val="auto"/>
                <w:sz w:val="18"/>
                <w:szCs w:val="20"/>
                <w:highlight w:val="none"/>
              </w:rPr>
            </w:pPr>
            <w:r>
              <w:rPr>
                <w:color w:val="auto"/>
                <w:sz w:val="18"/>
                <w:szCs w:val="20"/>
                <w:highlight w:val="none"/>
              </w:rPr>
              <w:t>指标解释</w:t>
            </w: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指标说明</w:t>
            </w:r>
          </w:p>
        </w:tc>
        <w:tc>
          <w:tcPr>
            <w:tcW w:w="578" w:type="dxa"/>
            <w:shd w:val="clear" w:color="auto" w:fill="FFFFFF"/>
            <w:vAlign w:val="center"/>
          </w:tcPr>
          <w:p>
            <w:pPr>
              <w:pStyle w:val="13"/>
              <w:bidi w:val="0"/>
              <w:rPr>
                <w:color w:val="auto"/>
                <w:sz w:val="18"/>
                <w:szCs w:val="20"/>
                <w:highlight w:val="none"/>
              </w:rPr>
            </w:pPr>
            <w:r>
              <w:rPr>
                <w:color w:val="auto"/>
                <w:sz w:val="18"/>
                <w:szCs w:val="20"/>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restart"/>
            <w:shd w:val="clear" w:color="auto" w:fill="FFFFFF"/>
            <w:vAlign w:val="center"/>
          </w:tcPr>
          <w:p>
            <w:pPr>
              <w:pStyle w:val="13"/>
              <w:bidi w:val="0"/>
              <w:rPr>
                <w:color w:val="auto"/>
                <w:sz w:val="18"/>
                <w:szCs w:val="20"/>
                <w:highlight w:val="none"/>
              </w:rPr>
            </w:pPr>
            <w:r>
              <w:rPr>
                <w:color w:val="auto"/>
                <w:sz w:val="18"/>
                <w:szCs w:val="20"/>
                <w:highlight w:val="none"/>
              </w:rPr>
              <w:t>决策</w:t>
            </w:r>
          </w:p>
        </w:tc>
        <w:tc>
          <w:tcPr>
            <w:tcW w:w="1091" w:type="dxa"/>
            <w:vMerge w:val="restart"/>
            <w:shd w:val="clear" w:color="auto" w:fill="FFFFFF"/>
            <w:vAlign w:val="center"/>
          </w:tcPr>
          <w:p>
            <w:pPr>
              <w:pStyle w:val="13"/>
              <w:bidi w:val="0"/>
              <w:rPr>
                <w:color w:val="auto"/>
                <w:sz w:val="18"/>
                <w:szCs w:val="20"/>
                <w:highlight w:val="none"/>
              </w:rPr>
            </w:pPr>
            <w:r>
              <w:rPr>
                <w:color w:val="auto"/>
                <w:sz w:val="18"/>
                <w:szCs w:val="20"/>
                <w:highlight w:val="none"/>
              </w:rPr>
              <w:t>项目</w:t>
            </w:r>
            <w:r>
              <w:rPr>
                <w:rFonts w:hint="eastAsia"/>
                <w:color w:val="auto"/>
                <w:sz w:val="18"/>
                <w:szCs w:val="20"/>
                <w:highlight w:val="none"/>
              </w:rPr>
              <w:t>实施</w:t>
            </w:r>
          </w:p>
        </w:tc>
        <w:tc>
          <w:tcPr>
            <w:tcW w:w="840" w:type="dxa"/>
            <w:vMerge w:val="restart"/>
            <w:shd w:val="clear" w:color="auto" w:fill="FFFFFF"/>
            <w:vAlign w:val="center"/>
          </w:tcPr>
          <w:p>
            <w:pPr>
              <w:pStyle w:val="13"/>
              <w:bidi w:val="0"/>
              <w:rPr>
                <w:color w:val="auto"/>
                <w:sz w:val="18"/>
                <w:szCs w:val="20"/>
                <w:highlight w:val="none"/>
              </w:rPr>
            </w:pPr>
            <w:r>
              <w:rPr>
                <w:rFonts w:hint="eastAsia"/>
                <w:color w:val="auto"/>
                <w:sz w:val="18"/>
                <w:szCs w:val="20"/>
                <w:highlight w:val="none"/>
              </w:rPr>
              <w:t>实施</w:t>
            </w:r>
            <w:r>
              <w:rPr>
                <w:color w:val="auto"/>
                <w:sz w:val="18"/>
                <w:szCs w:val="20"/>
                <w:highlight w:val="none"/>
              </w:rPr>
              <w:t>依据充分性</w:t>
            </w:r>
          </w:p>
        </w:tc>
        <w:tc>
          <w:tcPr>
            <w:tcW w:w="1532" w:type="dxa"/>
            <w:vMerge w:val="restart"/>
            <w:shd w:val="clear" w:color="auto" w:fill="FFFFFF"/>
            <w:vAlign w:val="center"/>
          </w:tcPr>
          <w:p>
            <w:pPr>
              <w:pStyle w:val="13"/>
              <w:bidi w:val="0"/>
              <w:rPr>
                <w:color w:val="auto"/>
                <w:sz w:val="18"/>
                <w:szCs w:val="20"/>
                <w:highlight w:val="none"/>
              </w:rPr>
            </w:pPr>
            <w:r>
              <w:rPr>
                <w:color w:val="auto"/>
                <w:sz w:val="18"/>
                <w:szCs w:val="20"/>
                <w:highlight w:val="none"/>
              </w:rPr>
              <w:t>项目</w:t>
            </w:r>
            <w:r>
              <w:rPr>
                <w:rFonts w:hint="eastAsia"/>
                <w:color w:val="auto"/>
                <w:sz w:val="18"/>
                <w:szCs w:val="20"/>
                <w:highlight w:val="none"/>
              </w:rPr>
              <w:t>实施</w:t>
            </w:r>
            <w:r>
              <w:rPr>
                <w:color w:val="auto"/>
                <w:sz w:val="18"/>
                <w:szCs w:val="20"/>
                <w:highlight w:val="none"/>
              </w:rPr>
              <w:t>是否符合法律法规、相关政策、发展规划以及部门职责，用以反映和考核项目</w:t>
            </w:r>
            <w:r>
              <w:rPr>
                <w:rFonts w:hint="eastAsia"/>
                <w:color w:val="auto"/>
                <w:sz w:val="18"/>
                <w:szCs w:val="20"/>
                <w:highlight w:val="none"/>
              </w:rPr>
              <w:t>实施</w:t>
            </w:r>
            <w:r>
              <w:rPr>
                <w:color w:val="auto"/>
                <w:sz w:val="18"/>
                <w:szCs w:val="20"/>
                <w:highlight w:val="none"/>
              </w:rPr>
              <w:t>依据情况。</w:t>
            </w: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评价要点：</w:t>
            </w:r>
          </w:p>
        </w:tc>
        <w:tc>
          <w:tcPr>
            <w:tcW w:w="578" w:type="dxa"/>
            <w:vMerge w:val="restart"/>
            <w:vAlign w:val="center"/>
          </w:tcPr>
          <w:p>
            <w:pPr>
              <w:pStyle w:val="13"/>
              <w:bidi w:val="0"/>
              <w:rPr>
                <w:color w:val="auto"/>
                <w:sz w:val="18"/>
                <w:szCs w:val="20"/>
                <w:highlight w:val="none"/>
              </w:rPr>
            </w:pPr>
            <w:r>
              <w:rPr>
                <w:color w:val="auto"/>
                <w:sz w:val="18"/>
                <w:szCs w:val="20"/>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①项目</w:t>
            </w:r>
            <w:r>
              <w:rPr>
                <w:rFonts w:hint="eastAsia"/>
                <w:color w:val="auto"/>
                <w:sz w:val="18"/>
                <w:szCs w:val="20"/>
                <w:highlight w:val="none"/>
              </w:rPr>
              <w:t>实施</w:t>
            </w:r>
            <w:r>
              <w:rPr>
                <w:color w:val="auto"/>
                <w:sz w:val="18"/>
                <w:szCs w:val="20"/>
                <w:highlight w:val="none"/>
              </w:rPr>
              <w:t>是否符合国家法律法规、国民经济发展规划和相关政策；</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②项目</w:t>
            </w:r>
            <w:r>
              <w:rPr>
                <w:rFonts w:hint="eastAsia"/>
                <w:color w:val="auto"/>
                <w:sz w:val="18"/>
                <w:szCs w:val="20"/>
                <w:highlight w:val="none"/>
              </w:rPr>
              <w:t>实施</w:t>
            </w:r>
            <w:r>
              <w:rPr>
                <w:color w:val="auto"/>
                <w:sz w:val="18"/>
                <w:szCs w:val="20"/>
                <w:highlight w:val="none"/>
              </w:rPr>
              <w:t>是否符合行业发展规划和政策要求；</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③项目</w:t>
            </w:r>
            <w:r>
              <w:rPr>
                <w:rFonts w:hint="eastAsia"/>
                <w:color w:val="auto"/>
                <w:sz w:val="18"/>
                <w:szCs w:val="20"/>
                <w:highlight w:val="none"/>
              </w:rPr>
              <w:t>实施</w:t>
            </w:r>
            <w:r>
              <w:rPr>
                <w:color w:val="auto"/>
                <w:sz w:val="18"/>
                <w:szCs w:val="20"/>
                <w:highlight w:val="none"/>
              </w:rPr>
              <w:t>是否与部门职责范围相符，属于部门履职所需；</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④项目是否属于公共财政支持范围，是否符合中央、地方事权支出责任划分原则；</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⑤项目是否与相关部门同类项目或部门内部相关项目重复。</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restart"/>
            <w:shd w:val="clear" w:color="auto" w:fill="FFFFFF"/>
            <w:vAlign w:val="center"/>
          </w:tcPr>
          <w:p>
            <w:pPr>
              <w:pStyle w:val="13"/>
              <w:bidi w:val="0"/>
              <w:rPr>
                <w:color w:val="auto"/>
                <w:sz w:val="18"/>
                <w:szCs w:val="20"/>
                <w:highlight w:val="none"/>
              </w:rPr>
            </w:pPr>
            <w:r>
              <w:rPr>
                <w:rFonts w:hint="eastAsia"/>
                <w:color w:val="auto"/>
                <w:sz w:val="18"/>
                <w:szCs w:val="20"/>
                <w:highlight w:val="none"/>
              </w:rPr>
              <w:t>实施</w:t>
            </w:r>
            <w:r>
              <w:rPr>
                <w:color w:val="auto"/>
                <w:sz w:val="18"/>
                <w:szCs w:val="20"/>
                <w:highlight w:val="none"/>
              </w:rPr>
              <w:t>程序规范性</w:t>
            </w:r>
          </w:p>
        </w:tc>
        <w:tc>
          <w:tcPr>
            <w:tcW w:w="1532" w:type="dxa"/>
            <w:vMerge w:val="restart"/>
            <w:shd w:val="clear" w:color="auto" w:fill="FFFFFF"/>
            <w:vAlign w:val="center"/>
          </w:tcPr>
          <w:p>
            <w:pPr>
              <w:pStyle w:val="13"/>
              <w:bidi w:val="0"/>
              <w:rPr>
                <w:color w:val="auto"/>
                <w:sz w:val="18"/>
                <w:szCs w:val="20"/>
                <w:highlight w:val="none"/>
              </w:rPr>
            </w:pPr>
            <w:r>
              <w:rPr>
                <w:color w:val="auto"/>
                <w:sz w:val="18"/>
                <w:szCs w:val="20"/>
                <w:highlight w:val="none"/>
              </w:rPr>
              <w:t>项目申请、设立过程是否符合相关要求，用以反映和考核项目</w:t>
            </w:r>
            <w:r>
              <w:rPr>
                <w:rFonts w:hint="eastAsia"/>
                <w:color w:val="auto"/>
                <w:sz w:val="18"/>
                <w:szCs w:val="20"/>
                <w:highlight w:val="none"/>
              </w:rPr>
              <w:t>实施</w:t>
            </w:r>
            <w:r>
              <w:rPr>
                <w:color w:val="auto"/>
                <w:sz w:val="18"/>
                <w:szCs w:val="20"/>
                <w:highlight w:val="none"/>
              </w:rPr>
              <w:t>的规范情况。</w:t>
            </w: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评价要点：</w:t>
            </w:r>
          </w:p>
        </w:tc>
        <w:tc>
          <w:tcPr>
            <w:tcW w:w="578" w:type="dxa"/>
            <w:vMerge w:val="restart"/>
            <w:vAlign w:val="center"/>
          </w:tcPr>
          <w:p>
            <w:pPr>
              <w:pStyle w:val="13"/>
              <w:bidi w:val="0"/>
              <w:rPr>
                <w:color w:val="auto"/>
                <w:sz w:val="18"/>
                <w:szCs w:val="20"/>
                <w:highlight w:val="none"/>
              </w:rPr>
            </w:pPr>
            <w:r>
              <w:rPr>
                <w:color w:val="auto"/>
                <w:sz w:val="18"/>
                <w:szCs w:val="20"/>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①项目是否按照规定的程序申请设立；</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②审批文件、材料是否符合相关要求；</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restart"/>
            <w:shd w:val="clear" w:color="auto" w:fill="FFFFFF"/>
            <w:vAlign w:val="center"/>
          </w:tcPr>
          <w:p>
            <w:pPr>
              <w:pStyle w:val="13"/>
              <w:bidi w:val="0"/>
              <w:rPr>
                <w:color w:val="auto"/>
                <w:sz w:val="18"/>
                <w:szCs w:val="20"/>
                <w:highlight w:val="none"/>
              </w:rPr>
            </w:pPr>
            <w:r>
              <w:rPr>
                <w:color w:val="auto"/>
                <w:sz w:val="18"/>
                <w:szCs w:val="20"/>
                <w:highlight w:val="none"/>
              </w:rPr>
              <w:t>绩效目标</w:t>
            </w:r>
          </w:p>
        </w:tc>
        <w:tc>
          <w:tcPr>
            <w:tcW w:w="840" w:type="dxa"/>
            <w:vMerge w:val="restart"/>
            <w:shd w:val="clear" w:color="auto" w:fill="FFFFFF"/>
            <w:vAlign w:val="center"/>
          </w:tcPr>
          <w:p>
            <w:pPr>
              <w:pStyle w:val="13"/>
              <w:bidi w:val="0"/>
              <w:rPr>
                <w:color w:val="auto"/>
                <w:sz w:val="18"/>
                <w:szCs w:val="20"/>
                <w:highlight w:val="none"/>
              </w:rPr>
            </w:pPr>
            <w:r>
              <w:rPr>
                <w:color w:val="auto"/>
                <w:sz w:val="18"/>
                <w:szCs w:val="20"/>
                <w:highlight w:val="none"/>
              </w:rPr>
              <w:t>绩效目标合理性</w:t>
            </w:r>
          </w:p>
        </w:tc>
        <w:tc>
          <w:tcPr>
            <w:tcW w:w="1532" w:type="dxa"/>
            <w:vMerge w:val="restart"/>
            <w:shd w:val="clear" w:color="auto" w:fill="FFFFFF"/>
            <w:vAlign w:val="center"/>
          </w:tcPr>
          <w:p>
            <w:pPr>
              <w:pStyle w:val="13"/>
              <w:bidi w:val="0"/>
              <w:rPr>
                <w:color w:val="auto"/>
                <w:sz w:val="18"/>
                <w:szCs w:val="20"/>
                <w:highlight w:val="none"/>
              </w:rPr>
            </w:pPr>
            <w:r>
              <w:rPr>
                <w:color w:val="auto"/>
                <w:sz w:val="18"/>
                <w:szCs w:val="20"/>
                <w:highlight w:val="none"/>
              </w:rPr>
              <w:t>项目所设定的绩效目标是否依据充分，是否符合客观实际，用以反映和考核项目绩效目标与项目实施的相符情况。</w:t>
            </w: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评价要点：</w:t>
            </w:r>
          </w:p>
        </w:tc>
        <w:tc>
          <w:tcPr>
            <w:tcW w:w="578" w:type="dxa"/>
            <w:vMerge w:val="restart"/>
            <w:vAlign w:val="center"/>
          </w:tcPr>
          <w:p>
            <w:pPr>
              <w:pStyle w:val="13"/>
              <w:bidi w:val="0"/>
              <w:rPr>
                <w:color w:val="auto"/>
                <w:sz w:val="18"/>
                <w:szCs w:val="20"/>
                <w:highlight w:val="none"/>
              </w:rPr>
            </w:pPr>
            <w:r>
              <w:rPr>
                <w:color w:val="auto"/>
                <w:sz w:val="18"/>
                <w:szCs w:val="20"/>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①项目是否有绩效目标；</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②项目绩效目标与实际工作内容是否具有相关性；</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③项目预期产出效益和效果是否符合正常的业绩水平；</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④是否与预算确定的项目投资额或资金量相匹配。</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restart"/>
            <w:shd w:val="clear" w:color="auto" w:fill="FFFFFF"/>
            <w:vAlign w:val="center"/>
          </w:tcPr>
          <w:p>
            <w:pPr>
              <w:pStyle w:val="13"/>
              <w:bidi w:val="0"/>
              <w:rPr>
                <w:color w:val="auto"/>
                <w:sz w:val="18"/>
                <w:szCs w:val="20"/>
                <w:highlight w:val="none"/>
              </w:rPr>
            </w:pPr>
            <w:r>
              <w:rPr>
                <w:color w:val="auto"/>
                <w:sz w:val="18"/>
                <w:szCs w:val="20"/>
                <w:highlight w:val="none"/>
              </w:rPr>
              <w:t>绩效指标明确性</w:t>
            </w:r>
          </w:p>
        </w:tc>
        <w:tc>
          <w:tcPr>
            <w:tcW w:w="1532" w:type="dxa"/>
            <w:vMerge w:val="restart"/>
            <w:shd w:val="clear" w:color="auto" w:fill="FFFFFF"/>
            <w:vAlign w:val="center"/>
          </w:tcPr>
          <w:p>
            <w:pPr>
              <w:pStyle w:val="13"/>
              <w:bidi w:val="0"/>
              <w:rPr>
                <w:color w:val="auto"/>
                <w:sz w:val="18"/>
                <w:szCs w:val="20"/>
                <w:highlight w:val="none"/>
              </w:rPr>
            </w:pPr>
            <w:r>
              <w:rPr>
                <w:color w:val="auto"/>
                <w:sz w:val="18"/>
                <w:szCs w:val="20"/>
                <w:highlight w:val="none"/>
              </w:rPr>
              <w:t>依据绩效目标设定的绩效指标是否清晰、细化、可衡量等，用以反映和考核项目绩效目标的明细化情况。</w:t>
            </w: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评价要点：</w:t>
            </w:r>
          </w:p>
        </w:tc>
        <w:tc>
          <w:tcPr>
            <w:tcW w:w="578" w:type="dxa"/>
            <w:vMerge w:val="restart"/>
            <w:vAlign w:val="center"/>
          </w:tcPr>
          <w:p>
            <w:pPr>
              <w:pStyle w:val="13"/>
              <w:bidi w:val="0"/>
              <w:rPr>
                <w:color w:val="auto"/>
                <w:sz w:val="18"/>
                <w:szCs w:val="20"/>
                <w:highlight w:val="none"/>
              </w:rPr>
            </w:pPr>
            <w:r>
              <w:rPr>
                <w:color w:val="auto"/>
                <w:sz w:val="18"/>
                <w:szCs w:val="20"/>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①是否将项目绩效目标细化分解为具体的绩效指标；</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②是否通过清晰、可衡量的指标值予以体现；</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③是否与项目目标任务数或计划数相对应。</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restart"/>
            <w:shd w:val="clear" w:color="auto" w:fill="FFFFFF"/>
            <w:vAlign w:val="center"/>
          </w:tcPr>
          <w:p>
            <w:pPr>
              <w:pStyle w:val="13"/>
              <w:bidi w:val="0"/>
              <w:rPr>
                <w:color w:val="auto"/>
                <w:sz w:val="18"/>
                <w:szCs w:val="20"/>
                <w:highlight w:val="none"/>
              </w:rPr>
            </w:pPr>
            <w:r>
              <w:rPr>
                <w:color w:val="auto"/>
                <w:sz w:val="18"/>
                <w:szCs w:val="20"/>
                <w:highlight w:val="none"/>
              </w:rPr>
              <w:t>资金投入</w:t>
            </w:r>
          </w:p>
        </w:tc>
        <w:tc>
          <w:tcPr>
            <w:tcW w:w="840" w:type="dxa"/>
            <w:vMerge w:val="restart"/>
            <w:shd w:val="clear" w:color="auto" w:fill="FFFFFF"/>
            <w:vAlign w:val="center"/>
          </w:tcPr>
          <w:p>
            <w:pPr>
              <w:pStyle w:val="13"/>
              <w:bidi w:val="0"/>
              <w:rPr>
                <w:color w:val="auto"/>
                <w:sz w:val="18"/>
                <w:szCs w:val="20"/>
                <w:highlight w:val="none"/>
              </w:rPr>
            </w:pPr>
            <w:r>
              <w:rPr>
                <w:color w:val="auto"/>
                <w:sz w:val="18"/>
                <w:szCs w:val="20"/>
                <w:highlight w:val="none"/>
              </w:rPr>
              <w:t>预算编制科学性</w:t>
            </w:r>
          </w:p>
        </w:tc>
        <w:tc>
          <w:tcPr>
            <w:tcW w:w="1532" w:type="dxa"/>
            <w:vMerge w:val="restart"/>
            <w:shd w:val="clear" w:color="auto" w:fill="FFFFFF"/>
            <w:vAlign w:val="center"/>
          </w:tcPr>
          <w:p>
            <w:pPr>
              <w:pStyle w:val="13"/>
              <w:bidi w:val="0"/>
              <w:rPr>
                <w:color w:val="auto"/>
                <w:sz w:val="18"/>
                <w:szCs w:val="20"/>
                <w:highlight w:val="none"/>
              </w:rPr>
            </w:pPr>
            <w:r>
              <w:rPr>
                <w:color w:val="auto"/>
                <w:sz w:val="18"/>
                <w:szCs w:val="20"/>
                <w:highlight w:val="none"/>
              </w:rPr>
              <w:t>项目预算编制是否经过科学论证、有明确标准，资金额度与年度目标是否相适应，用以反映和考核项目预算编制的科学性、合理性情况。</w:t>
            </w: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评价要点：</w:t>
            </w:r>
          </w:p>
        </w:tc>
        <w:tc>
          <w:tcPr>
            <w:tcW w:w="578" w:type="dxa"/>
            <w:vMerge w:val="restart"/>
            <w:vAlign w:val="center"/>
          </w:tcPr>
          <w:p>
            <w:pPr>
              <w:pStyle w:val="13"/>
              <w:bidi w:val="0"/>
              <w:rPr>
                <w:color w:val="auto"/>
                <w:sz w:val="18"/>
                <w:szCs w:val="20"/>
                <w:highlight w:val="none"/>
              </w:rPr>
            </w:pPr>
            <w:r>
              <w:rPr>
                <w:color w:val="auto"/>
                <w:sz w:val="18"/>
                <w:szCs w:val="20"/>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①预算编制是否经过科学论证；</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②预算内容与项目内容是否匹配；</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③预算额度测算依据是否充分，是否按照标准编制；</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④预算确定的项目投资额或资金量是否与工作任务相匹配。</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restart"/>
            <w:shd w:val="clear" w:color="auto" w:fill="FFFFFF"/>
            <w:vAlign w:val="center"/>
          </w:tcPr>
          <w:p>
            <w:pPr>
              <w:pStyle w:val="13"/>
              <w:bidi w:val="0"/>
              <w:rPr>
                <w:color w:val="auto"/>
                <w:sz w:val="18"/>
                <w:szCs w:val="20"/>
                <w:highlight w:val="none"/>
              </w:rPr>
            </w:pPr>
            <w:r>
              <w:rPr>
                <w:color w:val="auto"/>
                <w:sz w:val="18"/>
                <w:szCs w:val="20"/>
                <w:highlight w:val="none"/>
              </w:rPr>
              <w:t>资金分配合理性</w:t>
            </w:r>
          </w:p>
        </w:tc>
        <w:tc>
          <w:tcPr>
            <w:tcW w:w="1532" w:type="dxa"/>
            <w:vMerge w:val="restart"/>
            <w:shd w:val="clear" w:color="auto" w:fill="FFFFFF"/>
            <w:vAlign w:val="center"/>
          </w:tcPr>
          <w:p>
            <w:pPr>
              <w:pStyle w:val="13"/>
              <w:bidi w:val="0"/>
              <w:rPr>
                <w:color w:val="auto"/>
                <w:sz w:val="18"/>
                <w:szCs w:val="20"/>
                <w:highlight w:val="none"/>
              </w:rPr>
            </w:pPr>
            <w:r>
              <w:rPr>
                <w:color w:val="auto"/>
                <w:sz w:val="18"/>
                <w:szCs w:val="20"/>
                <w:highlight w:val="none"/>
              </w:rPr>
              <w:t>项目预算资金分配是否有测算依据，与补助单位或地方实际是否相适应，用以反映和考核项目预算资金分配的科学性、合理性情况。</w:t>
            </w: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评价要点：</w:t>
            </w:r>
          </w:p>
        </w:tc>
        <w:tc>
          <w:tcPr>
            <w:tcW w:w="578" w:type="dxa"/>
            <w:vMerge w:val="restart"/>
            <w:vAlign w:val="center"/>
          </w:tcPr>
          <w:p>
            <w:pPr>
              <w:pStyle w:val="13"/>
              <w:bidi w:val="0"/>
              <w:rPr>
                <w:color w:val="auto"/>
                <w:sz w:val="18"/>
                <w:szCs w:val="20"/>
                <w:highlight w:val="none"/>
              </w:rPr>
            </w:pPr>
            <w:r>
              <w:rPr>
                <w:color w:val="auto"/>
                <w:sz w:val="18"/>
                <w:szCs w:val="20"/>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①预算资金分配依据是否充分；</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②资金分配额度是否合理，与</w:t>
            </w:r>
            <w:r>
              <w:rPr>
                <w:rFonts w:hint="eastAsia"/>
                <w:color w:val="auto"/>
                <w:sz w:val="18"/>
                <w:szCs w:val="20"/>
                <w:highlight w:val="none"/>
              </w:rPr>
              <w:t>补助</w:t>
            </w:r>
            <w:r>
              <w:rPr>
                <w:color w:val="auto"/>
                <w:sz w:val="18"/>
                <w:szCs w:val="20"/>
                <w:highlight w:val="none"/>
              </w:rPr>
              <w:t>项目单位或地方实际是否相适应。</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restart"/>
            <w:shd w:val="clear" w:color="auto" w:fill="FFFFFF"/>
            <w:vAlign w:val="center"/>
          </w:tcPr>
          <w:p>
            <w:pPr>
              <w:pStyle w:val="13"/>
              <w:bidi w:val="0"/>
              <w:rPr>
                <w:color w:val="auto"/>
                <w:sz w:val="18"/>
                <w:szCs w:val="20"/>
                <w:highlight w:val="none"/>
              </w:rPr>
            </w:pPr>
            <w:r>
              <w:rPr>
                <w:color w:val="auto"/>
                <w:sz w:val="18"/>
                <w:szCs w:val="20"/>
                <w:highlight w:val="none"/>
              </w:rPr>
              <w:t>过程</w:t>
            </w:r>
          </w:p>
        </w:tc>
        <w:tc>
          <w:tcPr>
            <w:tcW w:w="1091" w:type="dxa"/>
            <w:vMerge w:val="restart"/>
            <w:shd w:val="clear" w:color="auto" w:fill="FFFFFF"/>
            <w:vAlign w:val="center"/>
          </w:tcPr>
          <w:p>
            <w:pPr>
              <w:pStyle w:val="13"/>
              <w:bidi w:val="0"/>
              <w:rPr>
                <w:color w:val="auto"/>
                <w:sz w:val="18"/>
                <w:szCs w:val="20"/>
                <w:highlight w:val="none"/>
              </w:rPr>
            </w:pPr>
            <w:r>
              <w:rPr>
                <w:color w:val="auto"/>
                <w:sz w:val="18"/>
                <w:szCs w:val="20"/>
                <w:highlight w:val="none"/>
              </w:rPr>
              <w:t>资金管理</w:t>
            </w:r>
          </w:p>
        </w:tc>
        <w:tc>
          <w:tcPr>
            <w:tcW w:w="840" w:type="dxa"/>
            <w:vMerge w:val="restart"/>
            <w:shd w:val="clear" w:color="auto" w:fill="FFFFFF"/>
            <w:vAlign w:val="center"/>
          </w:tcPr>
          <w:p>
            <w:pPr>
              <w:pStyle w:val="13"/>
              <w:bidi w:val="0"/>
              <w:rPr>
                <w:color w:val="auto"/>
                <w:sz w:val="18"/>
                <w:szCs w:val="20"/>
                <w:highlight w:val="none"/>
              </w:rPr>
            </w:pPr>
            <w:r>
              <w:rPr>
                <w:color w:val="auto"/>
                <w:sz w:val="18"/>
                <w:szCs w:val="20"/>
                <w:highlight w:val="none"/>
              </w:rPr>
              <w:t>资金到位率</w:t>
            </w:r>
          </w:p>
        </w:tc>
        <w:tc>
          <w:tcPr>
            <w:tcW w:w="1532" w:type="dxa"/>
            <w:vMerge w:val="restart"/>
            <w:shd w:val="clear" w:color="auto" w:fill="FFFFFF"/>
            <w:vAlign w:val="center"/>
          </w:tcPr>
          <w:p>
            <w:pPr>
              <w:pStyle w:val="13"/>
              <w:bidi w:val="0"/>
              <w:rPr>
                <w:color w:val="auto"/>
                <w:sz w:val="18"/>
                <w:szCs w:val="20"/>
                <w:highlight w:val="none"/>
              </w:rPr>
            </w:pPr>
            <w:r>
              <w:rPr>
                <w:color w:val="auto"/>
                <w:sz w:val="18"/>
                <w:szCs w:val="20"/>
                <w:highlight w:val="none"/>
              </w:rPr>
              <w:t>实际到位资金与预算资金的比率，用以反映和考核资金落实情况对项目实施的总体保障程度。</w:t>
            </w: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资金到位率=（实际到位资金/预算资金）×100%。</w:t>
            </w:r>
          </w:p>
        </w:tc>
        <w:tc>
          <w:tcPr>
            <w:tcW w:w="578" w:type="dxa"/>
            <w:vMerge w:val="restart"/>
            <w:vAlign w:val="center"/>
          </w:tcPr>
          <w:p>
            <w:pPr>
              <w:pStyle w:val="13"/>
              <w:bidi w:val="0"/>
              <w:rPr>
                <w:color w:val="auto"/>
                <w:sz w:val="18"/>
                <w:szCs w:val="20"/>
                <w:highlight w:val="none"/>
              </w:rPr>
            </w:pPr>
            <w:r>
              <w:rPr>
                <w:color w:val="auto"/>
                <w:sz w:val="18"/>
                <w:szCs w:val="20"/>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实际到位资金：一定时期（本年度或项目期）内落实到具体项目的资金。</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预算资金：一定时期（本年度或项目期）内预算安排到具体项目的资金。</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restart"/>
            <w:shd w:val="clear" w:color="auto" w:fill="FFFFFF"/>
            <w:vAlign w:val="center"/>
          </w:tcPr>
          <w:p>
            <w:pPr>
              <w:pStyle w:val="13"/>
              <w:bidi w:val="0"/>
              <w:rPr>
                <w:color w:val="auto"/>
                <w:sz w:val="18"/>
                <w:szCs w:val="20"/>
                <w:highlight w:val="none"/>
              </w:rPr>
            </w:pPr>
            <w:r>
              <w:rPr>
                <w:color w:val="auto"/>
                <w:sz w:val="18"/>
                <w:szCs w:val="20"/>
                <w:highlight w:val="none"/>
              </w:rPr>
              <w:t>预算执行率</w:t>
            </w:r>
          </w:p>
        </w:tc>
        <w:tc>
          <w:tcPr>
            <w:tcW w:w="1532" w:type="dxa"/>
            <w:vMerge w:val="restart"/>
            <w:shd w:val="clear" w:color="auto" w:fill="FFFFFF"/>
            <w:vAlign w:val="center"/>
          </w:tcPr>
          <w:p>
            <w:pPr>
              <w:pStyle w:val="13"/>
              <w:bidi w:val="0"/>
              <w:rPr>
                <w:color w:val="auto"/>
                <w:sz w:val="18"/>
                <w:szCs w:val="20"/>
                <w:highlight w:val="none"/>
              </w:rPr>
            </w:pPr>
            <w:r>
              <w:rPr>
                <w:color w:val="auto"/>
                <w:sz w:val="18"/>
                <w:szCs w:val="20"/>
                <w:highlight w:val="none"/>
              </w:rPr>
              <w:t>项目预算资金是否按照计划执行，用以反映或考核项目预算执行情况。</w:t>
            </w: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预算执行率=（实际支出资金/实际到位资金）×100%。</w:t>
            </w:r>
          </w:p>
        </w:tc>
        <w:tc>
          <w:tcPr>
            <w:tcW w:w="578" w:type="dxa"/>
            <w:vMerge w:val="restart"/>
            <w:vAlign w:val="center"/>
          </w:tcPr>
          <w:p>
            <w:pPr>
              <w:pStyle w:val="13"/>
              <w:bidi w:val="0"/>
              <w:rPr>
                <w:color w:val="auto"/>
                <w:sz w:val="18"/>
                <w:szCs w:val="20"/>
                <w:highlight w:val="none"/>
              </w:rPr>
            </w:pPr>
            <w:r>
              <w:rPr>
                <w:color w:val="auto"/>
                <w:sz w:val="18"/>
                <w:szCs w:val="20"/>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实际支出资金：一定时期（本年度或项目期）内项目实际拨付的资金。</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restart"/>
            <w:shd w:val="clear" w:color="auto" w:fill="FFFFFF"/>
            <w:vAlign w:val="center"/>
          </w:tcPr>
          <w:p>
            <w:pPr>
              <w:pStyle w:val="13"/>
              <w:bidi w:val="0"/>
              <w:rPr>
                <w:color w:val="auto"/>
                <w:sz w:val="18"/>
                <w:szCs w:val="20"/>
                <w:highlight w:val="none"/>
              </w:rPr>
            </w:pPr>
            <w:r>
              <w:rPr>
                <w:color w:val="auto"/>
                <w:sz w:val="18"/>
                <w:szCs w:val="20"/>
                <w:highlight w:val="none"/>
              </w:rPr>
              <w:t>资金使用合规性</w:t>
            </w:r>
          </w:p>
        </w:tc>
        <w:tc>
          <w:tcPr>
            <w:tcW w:w="1532" w:type="dxa"/>
            <w:vMerge w:val="restart"/>
            <w:shd w:val="clear" w:color="auto" w:fill="FFFFFF"/>
            <w:vAlign w:val="center"/>
          </w:tcPr>
          <w:p>
            <w:pPr>
              <w:pStyle w:val="13"/>
              <w:bidi w:val="0"/>
              <w:rPr>
                <w:color w:val="auto"/>
                <w:sz w:val="18"/>
                <w:szCs w:val="20"/>
                <w:highlight w:val="none"/>
              </w:rPr>
            </w:pPr>
            <w:r>
              <w:rPr>
                <w:color w:val="auto"/>
                <w:sz w:val="18"/>
                <w:szCs w:val="20"/>
                <w:highlight w:val="none"/>
              </w:rPr>
              <w:t>项目资金使用是否符合相关的财务管理制度规定，用以反映和考核项目资金的规范运行情况。</w:t>
            </w: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评价要点：</w:t>
            </w:r>
          </w:p>
        </w:tc>
        <w:tc>
          <w:tcPr>
            <w:tcW w:w="578" w:type="dxa"/>
            <w:vMerge w:val="restart"/>
            <w:vAlign w:val="center"/>
          </w:tcPr>
          <w:p>
            <w:pPr>
              <w:pStyle w:val="13"/>
              <w:bidi w:val="0"/>
              <w:rPr>
                <w:color w:val="auto"/>
                <w:sz w:val="18"/>
                <w:szCs w:val="20"/>
                <w:highlight w:val="none"/>
              </w:rPr>
            </w:pPr>
            <w:r>
              <w:rPr>
                <w:color w:val="auto"/>
                <w:sz w:val="18"/>
                <w:szCs w:val="20"/>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①是否符合国家财经法规和财务管理制度以及有关专项资金管理办法的规定；</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②资金的拨付是否有完整的审批程序和手续；</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③是否符合项目预算批复或合同规定的用途；</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④是否存在截留、挤占、挪用、虚列支出等情况。</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restart"/>
            <w:shd w:val="clear" w:color="auto" w:fill="FFFFFF"/>
            <w:vAlign w:val="center"/>
          </w:tcPr>
          <w:p>
            <w:pPr>
              <w:pStyle w:val="13"/>
              <w:bidi w:val="0"/>
              <w:rPr>
                <w:color w:val="auto"/>
                <w:sz w:val="18"/>
                <w:szCs w:val="20"/>
                <w:highlight w:val="none"/>
              </w:rPr>
            </w:pPr>
            <w:r>
              <w:rPr>
                <w:color w:val="auto"/>
                <w:sz w:val="18"/>
                <w:szCs w:val="20"/>
                <w:highlight w:val="none"/>
              </w:rPr>
              <w:t>组织实施</w:t>
            </w:r>
          </w:p>
        </w:tc>
        <w:tc>
          <w:tcPr>
            <w:tcW w:w="840" w:type="dxa"/>
            <w:vMerge w:val="restart"/>
            <w:shd w:val="clear" w:color="auto" w:fill="FFFFFF"/>
            <w:vAlign w:val="center"/>
          </w:tcPr>
          <w:p>
            <w:pPr>
              <w:pStyle w:val="13"/>
              <w:bidi w:val="0"/>
              <w:rPr>
                <w:color w:val="auto"/>
                <w:sz w:val="18"/>
                <w:szCs w:val="20"/>
                <w:highlight w:val="none"/>
              </w:rPr>
            </w:pPr>
            <w:r>
              <w:rPr>
                <w:color w:val="auto"/>
                <w:sz w:val="18"/>
                <w:szCs w:val="20"/>
                <w:highlight w:val="none"/>
              </w:rPr>
              <w:t>管理制度健全性</w:t>
            </w:r>
          </w:p>
        </w:tc>
        <w:tc>
          <w:tcPr>
            <w:tcW w:w="1532" w:type="dxa"/>
            <w:vMerge w:val="restart"/>
            <w:shd w:val="clear" w:color="auto" w:fill="FFFFFF"/>
            <w:vAlign w:val="center"/>
          </w:tcPr>
          <w:p>
            <w:pPr>
              <w:pStyle w:val="13"/>
              <w:bidi w:val="0"/>
              <w:rPr>
                <w:color w:val="auto"/>
                <w:sz w:val="18"/>
                <w:szCs w:val="20"/>
                <w:highlight w:val="none"/>
              </w:rPr>
            </w:pPr>
            <w:r>
              <w:rPr>
                <w:color w:val="auto"/>
                <w:sz w:val="18"/>
                <w:szCs w:val="20"/>
                <w:highlight w:val="none"/>
              </w:rPr>
              <w:t>项目实施单位的财务和业务管理制度是否健全，用以反映和考核财务和业务管理制度对项目顺利实施的保障情况。</w:t>
            </w: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评价要点：</w:t>
            </w:r>
          </w:p>
        </w:tc>
        <w:tc>
          <w:tcPr>
            <w:tcW w:w="578" w:type="dxa"/>
            <w:vMerge w:val="restart"/>
            <w:vAlign w:val="center"/>
          </w:tcPr>
          <w:p>
            <w:pPr>
              <w:pStyle w:val="13"/>
              <w:bidi w:val="0"/>
              <w:rPr>
                <w:color w:val="auto"/>
                <w:sz w:val="18"/>
                <w:szCs w:val="20"/>
                <w:highlight w:val="none"/>
              </w:rPr>
            </w:pPr>
            <w:r>
              <w:rPr>
                <w:color w:val="auto"/>
                <w:sz w:val="18"/>
                <w:szCs w:val="20"/>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①是否已制定或具有相应的财务和业务管理制度；</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②财务和业务管理制度是否合法、合规、完整。</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restart"/>
            <w:shd w:val="clear" w:color="auto" w:fill="FFFFFF"/>
            <w:vAlign w:val="center"/>
          </w:tcPr>
          <w:p>
            <w:pPr>
              <w:pStyle w:val="13"/>
              <w:bidi w:val="0"/>
              <w:rPr>
                <w:color w:val="auto"/>
                <w:sz w:val="18"/>
                <w:szCs w:val="20"/>
                <w:highlight w:val="none"/>
              </w:rPr>
            </w:pPr>
            <w:r>
              <w:rPr>
                <w:color w:val="auto"/>
                <w:sz w:val="18"/>
                <w:szCs w:val="20"/>
                <w:highlight w:val="none"/>
              </w:rPr>
              <w:t>制度执行有效性</w:t>
            </w:r>
          </w:p>
        </w:tc>
        <w:tc>
          <w:tcPr>
            <w:tcW w:w="1532" w:type="dxa"/>
            <w:vMerge w:val="restart"/>
            <w:shd w:val="clear" w:color="auto" w:fill="FFFFFF"/>
            <w:vAlign w:val="center"/>
          </w:tcPr>
          <w:p>
            <w:pPr>
              <w:pStyle w:val="13"/>
              <w:bidi w:val="0"/>
              <w:rPr>
                <w:color w:val="auto"/>
                <w:sz w:val="18"/>
                <w:szCs w:val="20"/>
                <w:highlight w:val="none"/>
              </w:rPr>
            </w:pPr>
            <w:r>
              <w:rPr>
                <w:color w:val="auto"/>
                <w:sz w:val="18"/>
                <w:szCs w:val="20"/>
                <w:highlight w:val="none"/>
              </w:rPr>
              <w:t>项目实施是否符合相关管理规定，用以反映和考核相关管理制度的有效执行情况。</w:t>
            </w: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评价要点：</w:t>
            </w:r>
          </w:p>
        </w:tc>
        <w:tc>
          <w:tcPr>
            <w:tcW w:w="578" w:type="dxa"/>
            <w:vMerge w:val="restart"/>
            <w:vAlign w:val="center"/>
          </w:tcPr>
          <w:p>
            <w:pPr>
              <w:pStyle w:val="13"/>
              <w:bidi w:val="0"/>
              <w:rPr>
                <w:color w:val="auto"/>
                <w:sz w:val="18"/>
                <w:szCs w:val="20"/>
                <w:highlight w:val="none"/>
              </w:rPr>
            </w:pPr>
            <w:r>
              <w:rPr>
                <w:color w:val="auto"/>
                <w:sz w:val="18"/>
                <w:szCs w:val="20"/>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①是否遵守相关法律法规和相关管理规定；</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②项目调整及支出调整手续是否完备；</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restart"/>
            <w:shd w:val="clear" w:color="auto" w:fill="FFFFFF"/>
            <w:vAlign w:val="center"/>
          </w:tcPr>
          <w:p>
            <w:pPr>
              <w:pStyle w:val="13"/>
              <w:bidi w:val="0"/>
              <w:rPr>
                <w:color w:val="auto"/>
                <w:sz w:val="18"/>
                <w:szCs w:val="20"/>
                <w:highlight w:val="none"/>
              </w:rPr>
            </w:pPr>
            <w:r>
              <w:rPr>
                <w:color w:val="auto"/>
                <w:sz w:val="18"/>
                <w:szCs w:val="20"/>
                <w:highlight w:val="none"/>
              </w:rPr>
              <w:t>产出</w:t>
            </w:r>
          </w:p>
        </w:tc>
        <w:tc>
          <w:tcPr>
            <w:tcW w:w="1091" w:type="dxa"/>
            <w:vMerge w:val="restart"/>
            <w:shd w:val="clear" w:color="auto" w:fill="FFFFFF"/>
            <w:vAlign w:val="center"/>
          </w:tcPr>
          <w:p>
            <w:pPr>
              <w:pStyle w:val="13"/>
              <w:bidi w:val="0"/>
              <w:rPr>
                <w:color w:val="auto"/>
                <w:sz w:val="18"/>
                <w:szCs w:val="20"/>
                <w:highlight w:val="none"/>
              </w:rPr>
            </w:pPr>
            <w:r>
              <w:rPr>
                <w:color w:val="auto"/>
                <w:sz w:val="18"/>
                <w:szCs w:val="20"/>
                <w:highlight w:val="none"/>
              </w:rPr>
              <w:t>产出数量</w:t>
            </w:r>
          </w:p>
        </w:tc>
        <w:tc>
          <w:tcPr>
            <w:tcW w:w="840" w:type="dxa"/>
            <w:vMerge w:val="restart"/>
            <w:shd w:val="clear" w:color="auto" w:fill="FFFFFF"/>
            <w:vAlign w:val="center"/>
          </w:tcPr>
          <w:p>
            <w:pPr>
              <w:pStyle w:val="13"/>
              <w:bidi w:val="0"/>
              <w:rPr>
                <w:color w:val="auto"/>
                <w:sz w:val="18"/>
                <w:szCs w:val="20"/>
                <w:highlight w:val="none"/>
              </w:rPr>
            </w:pPr>
            <w:r>
              <w:rPr>
                <w:color w:val="auto"/>
                <w:sz w:val="18"/>
                <w:szCs w:val="20"/>
                <w:highlight w:val="none"/>
              </w:rPr>
              <w:t>实际完成率</w:t>
            </w:r>
          </w:p>
        </w:tc>
        <w:tc>
          <w:tcPr>
            <w:tcW w:w="1532" w:type="dxa"/>
            <w:vMerge w:val="restart"/>
            <w:shd w:val="clear" w:color="auto" w:fill="FFFFFF"/>
            <w:vAlign w:val="center"/>
          </w:tcPr>
          <w:p>
            <w:pPr>
              <w:pStyle w:val="13"/>
              <w:bidi w:val="0"/>
              <w:rPr>
                <w:color w:val="auto"/>
                <w:sz w:val="18"/>
                <w:szCs w:val="20"/>
                <w:highlight w:val="none"/>
              </w:rPr>
            </w:pPr>
            <w:r>
              <w:rPr>
                <w:color w:val="auto"/>
                <w:sz w:val="18"/>
                <w:szCs w:val="20"/>
                <w:highlight w:val="none"/>
              </w:rPr>
              <w:t>项目实施的实际产出数与计划产出数的比率，用以反映和考核项目产出数量目标的实现程度。</w:t>
            </w: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实际完成率=（实际产出数/计划产出数）×100%。</w:t>
            </w:r>
          </w:p>
        </w:tc>
        <w:tc>
          <w:tcPr>
            <w:tcW w:w="578" w:type="dxa"/>
            <w:vMerge w:val="restart"/>
            <w:vAlign w:val="center"/>
          </w:tcPr>
          <w:p>
            <w:pPr>
              <w:pStyle w:val="13"/>
              <w:bidi w:val="0"/>
              <w:ind w:firstLine="0" w:firstLineChars="0"/>
              <w:rPr>
                <w:color w:val="auto"/>
                <w:sz w:val="18"/>
                <w:szCs w:val="20"/>
                <w:highlight w:val="none"/>
              </w:rPr>
            </w:pPr>
            <w:r>
              <w:rPr>
                <w:rFonts w:hint="eastAsia"/>
                <w:color w:val="auto"/>
                <w:sz w:val="18"/>
                <w:szCs w:val="20"/>
                <w:highlight w:val="no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实际产出数：一定时期（本年度或项目期）内项目实际产出的产品或提供的服务数量。</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计划产出数：项目绩效目标确定的在一定时期（本年度或项目期）内计划产出的产品或提供的服务数量。</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restart"/>
            <w:shd w:val="clear" w:color="auto" w:fill="FFFFFF"/>
            <w:vAlign w:val="center"/>
          </w:tcPr>
          <w:p>
            <w:pPr>
              <w:pStyle w:val="13"/>
              <w:bidi w:val="0"/>
              <w:rPr>
                <w:color w:val="auto"/>
                <w:sz w:val="18"/>
                <w:szCs w:val="20"/>
                <w:highlight w:val="none"/>
              </w:rPr>
            </w:pPr>
            <w:r>
              <w:rPr>
                <w:color w:val="auto"/>
                <w:sz w:val="18"/>
                <w:szCs w:val="20"/>
                <w:highlight w:val="none"/>
              </w:rPr>
              <w:t>产出质量</w:t>
            </w:r>
          </w:p>
        </w:tc>
        <w:tc>
          <w:tcPr>
            <w:tcW w:w="840" w:type="dxa"/>
            <w:vMerge w:val="restart"/>
            <w:shd w:val="clear" w:color="auto" w:fill="FFFFFF"/>
            <w:vAlign w:val="center"/>
          </w:tcPr>
          <w:p>
            <w:pPr>
              <w:pStyle w:val="13"/>
              <w:bidi w:val="0"/>
              <w:rPr>
                <w:color w:val="auto"/>
                <w:sz w:val="18"/>
                <w:szCs w:val="20"/>
                <w:highlight w:val="none"/>
              </w:rPr>
            </w:pPr>
            <w:r>
              <w:rPr>
                <w:color w:val="auto"/>
                <w:sz w:val="18"/>
                <w:szCs w:val="20"/>
                <w:highlight w:val="none"/>
              </w:rPr>
              <w:t>质量达标率</w:t>
            </w:r>
          </w:p>
        </w:tc>
        <w:tc>
          <w:tcPr>
            <w:tcW w:w="1532" w:type="dxa"/>
            <w:vMerge w:val="restart"/>
            <w:shd w:val="clear" w:color="auto" w:fill="FFFFFF"/>
            <w:vAlign w:val="center"/>
          </w:tcPr>
          <w:p>
            <w:pPr>
              <w:pStyle w:val="13"/>
              <w:bidi w:val="0"/>
              <w:rPr>
                <w:color w:val="auto"/>
                <w:sz w:val="18"/>
                <w:szCs w:val="20"/>
                <w:highlight w:val="none"/>
              </w:rPr>
            </w:pPr>
            <w:r>
              <w:rPr>
                <w:color w:val="auto"/>
                <w:sz w:val="18"/>
                <w:szCs w:val="20"/>
                <w:highlight w:val="none"/>
              </w:rPr>
              <w:t>项目完成的质量达标产出数与实际产出数的比率，用以反映和考核项目产出质量目标的实现程度。</w:t>
            </w: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质量达标率=（质量达标产出数/实际产出数）×100%。</w:t>
            </w:r>
          </w:p>
        </w:tc>
        <w:tc>
          <w:tcPr>
            <w:tcW w:w="578" w:type="dxa"/>
            <w:vMerge w:val="restart"/>
            <w:vAlign w:val="center"/>
          </w:tcPr>
          <w:p>
            <w:pPr>
              <w:pStyle w:val="13"/>
              <w:bidi w:val="0"/>
              <w:ind w:firstLine="0" w:firstLineChars="0"/>
              <w:rPr>
                <w:color w:val="auto"/>
                <w:sz w:val="18"/>
                <w:szCs w:val="20"/>
                <w:highlight w:val="none"/>
              </w:rPr>
            </w:pPr>
            <w:r>
              <w:rPr>
                <w:rFonts w:hint="eastAsia"/>
                <w:color w:val="auto"/>
                <w:sz w:val="18"/>
                <w:szCs w:val="20"/>
                <w:highlight w:val="no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restart"/>
            <w:shd w:val="clear" w:color="auto" w:fill="FFFFFF"/>
            <w:vAlign w:val="center"/>
          </w:tcPr>
          <w:p>
            <w:pPr>
              <w:pStyle w:val="13"/>
              <w:bidi w:val="0"/>
              <w:rPr>
                <w:color w:val="auto"/>
                <w:sz w:val="18"/>
                <w:szCs w:val="20"/>
                <w:highlight w:val="none"/>
              </w:rPr>
            </w:pPr>
            <w:r>
              <w:rPr>
                <w:color w:val="auto"/>
                <w:sz w:val="18"/>
                <w:szCs w:val="20"/>
                <w:highlight w:val="none"/>
              </w:rPr>
              <w:t>产出时效</w:t>
            </w:r>
          </w:p>
        </w:tc>
        <w:tc>
          <w:tcPr>
            <w:tcW w:w="840" w:type="dxa"/>
            <w:vMerge w:val="restart"/>
            <w:shd w:val="clear" w:color="auto" w:fill="FFFFFF"/>
            <w:vAlign w:val="center"/>
          </w:tcPr>
          <w:p>
            <w:pPr>
              <w:pStyle w:val="13"/>
              <w:bidi w:val="0"/>
              <w:rPr>
                <w:color w:val="auto"/>
                <w:sz w:val="18"/>
                <w:szCs w:val="20"/>
                <w:highlight w:val="none"/>
              </w:rPr>
            </w:pPr>
            <w:r>
              <w:rPr>
                <w:color w:val="auto"/>
                <w:sz w:val="18"/>
                <w:szCs w:val="20"/>
                <w:highlight w:val="none"/>
              </w:rPr>
              <w:t>完成及时性</w:t>
            </w:r>
          </w:p>
        </w:tc>
        <w:tc>
          <w:tcPr>
            <w:tcW w:w="1532" w:type="dxa"/>
            <w:vMerge w:val="restart"/>
            <w:shd w:val="clear" w:color="auto" w:fill="FFFFFF"/>
            <w:vAlign w:val="center"/>
          </w:tcPr>
          <w:p>
            <w:pPr>
              <w:pStyle w:val="13"/>
              <w:bidi w:val="0"/>
              <w:rPr>
                <w:color w:val="auto"/>
                <w:sz w:val="18"/>
                <w:szCs w:val="20"/>
                <w:highlight w:val="none"/>
              </w:rPr>
            </w:pPr>
            <w:r>
              <w:rPr>
                <w:color w:val="auto"/>
                <w:sz w:val="18"/>
                <w:szCs w:val="20"/>
                <w:highlight w:val="none"/>
              </w:rPr>
              <w:t>项目实际完成时间与计划完成时间的比较，用以反映和考核项目产出时效目标的实现程度。</w:t>
            </w: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实际完成时间：项目实施单位完成该项目实际所耗用的时间。</w:t>
            </w:r>
          </w:p>
        </w:tc>
        <w:tc>
          <w:tcPr>
            <w:tcW w:w="578" w:type="dxa"/>
            <w:vMerge w:val="restart"/>
            <w:vAlign w:val="center"/>
          </w:tcPr>
          <w:p>
            <w:pPr>
              <w:pStyle w:val="13"/>
              <w:bidi w:val="0"/>
              <w:ind w:firstLine="0" w:firstLineChars="0"/>
              <w:rPr>
                <w:color w:val="auto"/>
                <w:sz w:val="18"/>
                <w:szCs w:val="20"/>
                <w:highlight w:val="none"/>
              </w:rPr>
            </w:pPr>
            <w:r>
              <w:rPr>
                <w:rFonts w:hint="eastAsia"/>
                <w:color w:val="auto"/>
                <w:sz w:val="18"/>
                <w:szCs w:val="20"/>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vMerge w:val="continue"/>
            <w:shd w:val="clear" w:color="auto" w:fill="FFFFFF"/>
            <w:vAlign w:val="center"/>
          </w:tcPr>
          <w:p>
            <w:pPr>
              <w:pStyle w:val="13"/>
              <w:bidi w:val="0"/>
              <w:rPr>
                <w:color w:val="auto"/>
                <w:sz w:val="18"/>
                <w:szCs w:val="20"/>
                <w:highlight w:val="none"/>
              </w:rPr>
            </w:pPr>
          </w:p>
        </w:tc>
        <w:tc>
          <w:tcPr>
            <w:tcW w:w="1532" w:type="dxa"/>
            <w:vMerge w:val="continue"/>
            <w:shd w:val="clear" w:color="auto" w:fill="FFFFFF"/>
            <w:vAlign w:val="center"/>
          </w:tcPr>
          <w:p>
            <w:pPr>
              <w:pStyle w:val="13"/>
              <w:bidi w:val="0"/>
              <w:rPr>
                <w:color w:val="auto"/>
                <w:sz w:val="18"/>
                <w:szCs w:val="20"/>
                <w:highlight w:val="none"/>
              </w:rPr>
            </w:pP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计划完成时间：按照项目实施计划或相关规定完成该项目所需的时间。</w:t>
            </w:r>
          </w:p>
        </w:tc>
        <w:tc>
          <w:tcPr>
            <w:tcW w:w="578" w:type="dxa"/>
            <w:vMerge w:val="continue"/>
            <w:vAlign w:val="center"/>
          </w:tcPr>
          <w:p>
            <w:pPr>
              <w:pStyle w:val="13"/>
              <w:bidi w:val="0"/>
              <w:rPr>
                <w:color w:val="auto"/>
                <w:sz w:val="18"/>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shd w:val="clear" w:color="auto" w:fill="FFFFFF"/>
            <w:vAlign w:val="center"/>
          </w:tcPr>
          <w:p>
            <w:pPr>
              <w:pStyle w:val="13"/>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仿宋_GB2312" w:cs="Times New Roman"/>
                <w:color w:val="auto"/>
                <w:kern w:val="44"/>
                <w:sz w:val="15"/>
                <w:szCs w:val="15"/>
                <w:highlight w:val="none"/>
                <w:lang w:val="en-US" w:eastAsia="zh-CN" w:bidi="ar-SA"/>
              </w:rPr>
            </w:pPr>
            <w:r>
              <w:rPr>
                <w:rFonts w:hint="default" w:ascii="Times New Roman" w:hAnsi="Times New Roman" w:eastAsia="仿宋_GB2312" w:cs="Times New Roman"/>
                <w:color w:val="auto"/>
                <w:sz w:val="15"/>
                <w:szCs w:val="15"/>
                <w:highlight w:val="none"/>
              </w:rPr>
              <w:t>产出成本</w:t>
            </w:r>
          </w:p>
        </w:tc>
        <w:tc>
          <w:tcPr>
            <w:tcW w:w="840" w:type="dxa"/>
            <w:shd w:val="clear" w:color="auto" w:fill="FFFFFF"/>
            <w:vAlign w:val="center"/>
          </w:tcPr>
          <w:p>
            <w:pPr>
              <w:pStyle w:val="13"/>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仿宋_GB2312" w:cs="Times New Roman"/>
                <w:color w:val="auto"/>
                <w:kern w:val="44"/>
                <w:sz w:val="15"/>
                <w:szCs w:val="15"/>
                <w:highlight w:val="none"/>
                <w:lang w:val="en-US" w:eastAsia="zh-CN" w:bidi="ar-SA"/>
              </w:rPr>
            </w:pPr>
            <w:r>
              <w:rPr>
                <w:rFonts w:hint="default" w:ascii="Times New Roman" w:hAnsi="Times New Roman" w:eastAsia="仿宋_GB2312" w:cs="Times New Roman"/>
                <w:color w:val="auto"/>
                <w:sz w:val="15"/>
                <w:szCs w:val="15"/>
                <w:highlight w:val="none"/>
              </w:rPr>
              <w:t>成本节约率</w:t>
            </w:r>
          </w:p>
        </w:tc>
        <w:tc>
          <w:tcPr>
            <w:tcW w:w="1532" w:type="dxa"/>
            <w:shd w:val="clear" w:color="auto" w:fill="FFFFFF"/>
            <w:vAlign w:val="center"/>
          </w:tcPr>
          <w:p>
            <w:pPr>
              <w:pStyle w:val="13"/>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auto"/>
                <w:kern w:val="44"/>
                <w:sz w:val="15"/>
                <w:szCs w:val="15"/>
                <w:highlight w:val="none"/>
                <w:lang w:val="en-US" w:eastAsia="zh-CN" w:bidi="ar-SA"/>
              </w:rPr>
            </w:pPr>
            <w:r>
              <w:rPr>
                <w:rFonts w:hint="default" w:ascii="Times New Roman" w:hAnsi="Times New Roman" w:eastAsia="仿宋_GB2312" w:cs="Times New Roman"/>
                <w:color w:val="auto"/>
                <w:sz w:val="15"/>
                <w:szCs w:val="15"/>
                <w:highlight w:val="none"/>
              </w:rPr>
              <w:t>完成项目计划工作目标的实际节约成本与计划成本的比率，用以反映和考核项目的成本节约程度。</w:t>
            </w:r>
          </w:p>
        </w:tc>
        <w:tc>
          <w:tcPr>
            <w:tcW w:w="3782" w:type="dxa"/>
            <w:shd w:val="clear" w:color="auto" w:fill="FFFFFF"/>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5"/>
                <w:szCs w:val="15"/>
                <w:highlight w:val="none"/>
              </w:rPr>
            </w:pPr>
            <w:r>
              <w:rPr>
                <w:rFonts w:hint="default" w:ascii="Times New Roman" w:hAnsi="Times New Roman" w:eastAsia="仿宋_GB2312" w:cs="Times New Roman"/>
                <w:color w:val="auto"/>
                <w:sz w:val="15"/>
                <w:szCs w:val="15"/>
                <w:highlight w:val="none"/>
              </w:rPr>
              <w:t>成本节约率=〔（计划成本</w:t>
            </w:r>
            <w:r>
              <w:rPr>
                <w:rFonts w:hint="default" w:ascii="Times New Roman" w:hAnsi="Times New Roman" w:eastAsia="仿宋_GB2312" w:cs="Times New Roman"/>
                <w:color w:val="auto"/>
                <w:sz w:val="15"/>
                <w:szCs w:val="15"/>
                <w:highlight w:val="none"/>
                <w:lang w:eastAsia="zh-CN"/>
              </w:rPr>
              <w:t>－</w:t>
            </w:r>
            <w:r>
              <w:rPr>
                <w:rFonts w:hint="default" w:ascii="Times New Roman" w:hAnsi="Times New Roman" w:eastAsia="仿宋_GB2312" w:cs="Times New Roman"/>
                <w:color w:val="auto"/>
                <w:sz w:val="15"/>
                <w:szCs w:val="15"/>
                <w:highlight w:val="none"/>
              </w:rPr>
              <w:t>实际成本）/计划成本〕×100%。</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5"/>
                <w:szCs w:val="15"/>
                <w:highlight w:val="none"/>
              </w:rPr>
            </w:pPr>
            <w:r>
              <w:rPr>
                <w:rFonts w:hint="default" w:ascii="Times New Roman" w:hAnsi="Times New Roman" w:eastAsia="仿宋_GB2312" w:cs="Times New Roman"/>
                <w:color w:val="auto"/>
                <w:sz w:val="15"/>
                <w:szCs w:val="15"/>
                <w:highlight w:val="none"/>
              </w:rPr>
              <w:t>实际成本：项目实施单位如期、保质、保量完成既定工作目标实际所耗费的支出。</w:t>
            </w:r>
          </w:p>
          <w:p>
            <w:pPr>
              <w:pStyle w:val="13"/>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auto"/>
                <w:kern w:val="44"/>
                <w:sz w:val="15"/>
                <w:szCs w:val="15"/>
                <w:highlight w:val="none"/>
                <w:lang w:val="en-US" w:eastAsia="zh-CN" w:bidi="ar-SA"/>
              </w:rPr>
            </w:pPr>
            <w:r>
              <w:rPr>
                <w:rFonts w:hint="default" w:ascii="Times New Roman" w:hAnsi="Times New Roman" w:eastAsia="仿宋_GB2312" w:cs="Times New Roman"/>
                <w:color w:val="auto"/>
                <w:sz w:val="15"/>
                <w:szCs w:val="15"/>
                <w:highlight w:val="none"/>
              </w:rPr>
              <w:t>计划成本：项目实施单位为完成工作目标计划安排的支出，一般以项目预算为参考。</w:t>
            </w:r>
          </w:p>
        </w:tc>
        <w:tc>
          <w:tcPr>
            <w:tcW w:w="578" w:type="dxa"/>
            <w:vAlign w:val="center"/>
          </w:tcPr>
          <w:p>
            <w:pPr>
              <w:pStyle w:val="13"/>
              <w:bidi w:val="0"/>
              <w:ind w:firstLine="0" w:firstLineChars="0"/>
              <w:rPr>
                <w:rFonts w:hint="default" w:ascii="Times New Roman" w:hAnsi="Times New Roman" w:eastAsia="仿宋_GB2312" w:cs="Times New Roman"/>
                <w:color w:val="auto"/>
                <w:kern w:val="44"/>
                <w:sz w:val="15"/>
                <w:szCs w:val="15"/>
                <w:highlight w:val="none"/>
                <w:lang w:val="en-US" w:eastAsia="zh-CN" w:bidi="ar-SA"/>
              </w:rPr>
            </w:pPr>
            <w:r>
              <w:rPr>
                <w:rFonts w:hint="eastAsia"/>
                <w:color w:val="auto"/>
                <w:sz w:val="18"/>
                <w:szCs w:val="20"/>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96" w:type="dxa"/>
            <w:vMerge w:val="restart"/>
            <w:shd w:val="clear" w:color="auto" w:fill="FFFFFF"/>
            <w:vAlign w:val="center"/>
          </w:tcPr>
          <w:p>
            <w:pPr>
              <w:pStyle w:val="13"/>
              <w:bidi w:val="0"/>
              <w:rPr>
                <w:color w:val="auto"/>
                <w:sz w:val="18"/>
                <w:szCs w:val="20"/>
                <w:highlight w:val="none"/>
              </w:rPr>
            </w:pPr>
            <w:r>
              <w:rPr>
                <w:color w:val="auto"/>
                <w:sz w:val="18"/>
                <w:szCs w:val="20"/>
                <w:highlight w:val="none"/>
              </w:rPr>
              <w:t>效益</w:t>
            </w:r>
          </w:p>
        </w:tc>
        <w:tc>
          <w:tcPr>
            <w:tcW w:w="1091" w:type="dxa"/>
            <w:vMerge w:val="restart"/>
            <w:shd w:val="clear" w:color="auto" w:fill="FFFFFF"/>
            <w:vAlign w:val="center"/>
          </w:tcPr>
          <w:p>
            <w:pPr>
              <w:pStyle w:val="13"/>
              <w:bidi w:val="0"/>
              <w:rPr>
                <w:color w:val="auto"/>
                <w:sz w:val="18"/>
                <w:szCs w:val="20"/>
                <w:highlight w:val="none"/>
              </w:rPr>
            </w:pPr>
            <w:r>
              <w:rPr>
                <w:color w:val="auto"/>
                <w:sz w:val="18"/>
                <w:szCs w:val="20"/>
                <w:highlight w:val="none"/>
              </w:rPr>
              <w:t>项目效益</w:t>
            </w:r>
          </w:p>
        </w:tc>
        <w:tc>
          <w:tcPr>
            <w:tcW w:w="840" w:type="dxa"/>
            <w:shd w:val="clear" w:color="auto" w:fill="FFFFFF"/>
            <w:vAlign w:val="center"/>
          </w:tcPr>
          <w:p>
            <w:pPr>
              <w:pStyle w:val="13"/>
              <w:bidi w:val="0"/>
              <w:rPr>
                <w:color w:val="auto"/>
                <w:sz w:val="18"/>
                <w:szCs w:val="20"/>
                <w:highlight w:val="none"/>
              </w:rPr>
            </w:pPr>
            <w:r>
              <w:rPr>
                <w:color w:val="auto"/>
                <w:sz w:val="18"/>
                <w:szCs w:val="20"/>
                <w:highlight w:val="none"/>
              </w:rPr>
              <w:t>实施效益</w:t>
            </w:r>
          </w:p>
        </w:tc>
        <w:tc>
          <w:tcPr>
            <w:tcW w:w="1532" w:type="dxa"/>
            <w:shd w:val="clear" w:color="auto" w:fill="FFFFFF"/>
            <w:vAlign w:val="center"/>
          </w:tcPr>
          <w:p>
            <w:pPr>
              <w:pStyle w:val="13"/>
              <w:bidi w:val="0"/>
              <w:rPr>
                <w:color w:val="auto"/>
                <w:sz w:val="18"/>
                <w:szCs w:val="20"/>
                <w:highlight w:val="none"/>
              </w:rPr>
            </w:pPr>
            <w:r>
              <w:rPr>
                <w:color w:val="auto"/>
                <w:sz w:val="18"/>
                <w:szCs w:val="20"/>
                <w:highlight w:val="none"/>
              </w:rPr>
              <w:t>项目实施所产生的效益。</w:t>
            </w: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项目实施所产生的社会效益、经济效益、生态效益、可持续影响等。可根据项目实际情况有选择地设置和细化。</w:t>
            </w:r>
          </w:p>
        </w:tc>
        <w:tc>
          <w:tcPr>
            <w:tcW w:w="578" w:type="dxa"/>
            <w:vAlign w:val="center"/>
          </w:tcPr>
          <w:p>
            <w:pPr>
              <w:pStyle w:val="13"/>
              <w:bidi w:val="0"/>
              <w:rPr>
                <w:color w:val="auto"/>
                <w:sz w:val="18"/>
                <w:szCs w:val="20"/>
                <w:highlight w:val="none"/>
              </w:rPr>
            </w:pPr>
            <w:r>
              <w:rPr>
                <w:color w:val="auto"/>
                <w:sz w:val="18"/>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696" w:type="dxa"/>
            <w:vMerge w:val="continue"/>
            <w:shd w:val="clear" w:color="auto" w:fill="FFFFFF"/>
            <w:vAlign w:val="center"/>
          </w:tcPr>
          <w:p>
            <w:pPr>
              <w:pStyle w:val="13"/>
              <w:bidi w:val="0"/>
              <w:rPr>
                <w:color w:val="auto"/>
                <w:sz w:val="18"/>
                <w:szCs w:val="20"/>
                <w:highlight w:val="none"/>
              </w:rPr>
            </w:pPr>
          </w:p>
        </w:tc>
        <w:tc>
          <w:tcPr>
            <w:tcW w:w="1091" w:type="dxa"/>
            <w:vMerge w:val="continue"/>
            <w:shd w:val="clear" w:color="auto" w:fill="FFFFFF"/>
            <w:vAlign w:val="center"/>
          </w:tcPr>
          <w:p>
            <w:pPr>
              <w:pStyle w:val="13"/>
              <w:bidi w:val="0"/>
              <w:rPr>
                <w:color w:val="auto"/>
                <w:sz w:val="18"/>
                <w:szCs w:val="20"/>
                <w:highlight w:val="none"/>
              </w:rPr>
            </w:pPr>
          </w:p>
        </w:tc>
        <w:tc>
          <w:tcPr>
            <w:tcW w:w="840" w:type="dxa"/>
            <w:shd w:val="clear" w:color="auto" w:fill="FFFFFF"/>
            <w:vAlign w:val="center"/>
          </w:tcPr>
          <w:p>
            <w:pPr>
              <w:pStyle w:val="13"/>
              <w:bidi w:val="0"/>
              <w:rPr>
                <w:color w:val="auto"/>
                <w:sz w:val="18"/>
                <w:szCs w:val="20"/>
                <w:highlight w:val="none"/>
              </w:rPr>
            </w:pPr>
            <w:r>
              <w:rPr>
                <w:color w:val="auto"/>
                <w:sz w:val="18"/>
                <w:szCs w:val="20"/>
                <w:highlight w:val="none"/>
              </w:rPr>
              <w:t>满意度</w:t>
            </w:r>
          </w:p>
        </w:tc>
        <w:tc>
          <w:tcPr>
            <w:tcW w:w="1532" w:type="dxa"/>
            <w:shd w:val="clear" w:color="auto" w:fill="FFFFFF"/>
            <w:vAlign w:val="center"/>
          </w:tcPr>
          <w:p>
            <w:pPr>
              <w:pStyle w:val="13"/>
              <w:bidi w:val="0"/>
              <w:rPr>
                <w:color w:val="auto"/>
                <w:sz w:val="18"/>
                <w:szCs w:val="20"/>
                <w:highlight w:val="none"/>
              </w:rPr>
            </w:pPr>
            <w:r>
              <w:rPr>
                <w:color w:val="auto"/>
                <w:sz w:val="18"/>
                <w:szCs w:val="20"/>
                <w:highlight w:val="none"/>
              </w:rPr>
              <w:t>社会公众或服务对象对项目实施效果的满意程度。</w:t>
            </w:r>
          </w:p>
        </w:tc>
        <w:tc>
          <w:tcPr>
            <w:tcW w:w="3782" w:type="dxa"/>
            <w:shd w:val="clear" w:color="auto" w:fill="FFFFFF"/>
            <w:vAlign w:val="center"/>
          </w:tcPr>
          <w:p>
            <w:pPr>
              <w:pStyle w:val="13"/>
              <w:bidi w:val="0"/>
              <w:rPr>
                <w:color w:val="auto"/>
                <w:sz w:val="18"/>
                <w:szCs w:val="20"/>
                <w:highlight w:val="none"/>
              </w:rPr>
            </w:pPr>
            <w:r>
              <w:rPr>
                <w:color w:val="auto"/>
                <w:sz w:val="18"/>
                <w:szCs w:val="20"/>
                <w:highlight w:val="none"/>
              </w:rPr>
              <w:t>社会公众或服务对象是指因该项目实施而受到影响的部门（单位）、群体或个人。一般采取社会调查的方式。</w:t>
            </w:r>
          </w:p>
        </w:tc>
        <w:tc>
          <w:tcPr>
            <w:tcW w:w="578" w:type="dxa"/>
            <w:vAlign w:val="center"/>
          </w:tcPr>
          <w:p>
            <w:pPr>
              <w:pStyle w:val="13"/>
              <w:bidi w:val="0"/>
              <w:rPr>
                <w:color w:val="auto"/>
                <w:sz w:val="18"/>
                <w:szCs w:val="20"/>
                <w:highlight w:val="none"/>
              </w:rPr>
            </w:pPr>
            <w:r>
              <w:rPr>
                <w:color w:val="auto"/>
                <w:sz w:val="18"/>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7941" w:type="dxa"/>
            <w:gridSpan w:val="5"/>
            <w:vAlign w:val="center"/>
          </w:tcPr>
          <w:p>
            <w:pPr>
              <w:pStyle w:val="13"/>
              <w:bidi w:val="0"/>
              <w:rPr>
                <w:color w:val="auto"/>
                <w:sz w:val="18"/>
                <w:szCs w:val="20"/>
                <w:highlight w:val="none"/>
              </w:rPr>
            </w:pPr>
            <w:r>
              <w:rPr>
                <w:color w:val="auto"/>
                <w:sz w:val="18"/>
                <w:szCs w:val="20"/>
                <w:highlight w:val="none"/>
              </w:rPr>
              <w:t>合计</w:t>
            </w:r>
          </w:p>
        </w:tc>
        <w:tc>
          <w:tcPr>
            <w:tcW w:w="578" w:type="dxa"/>
            <w:vAlign w:val="center"/>
          </w:tcPr>
          <w:p>
            <w:pPr>
              <w:pStyle w:val="13"/>
              <w:bidi w:val="0"/>
              <w:rPr>
                <w:color w:val="auto"/>
                <w:sz w:val="18"/>
                <w:szCs w:val="20"/>
                <w:highlight w:val="none"/>
              </w:rPr>
            </w:pPr>
            <w:r>
              <w:rPr>
                <w:color w:val="auto"/>
                <w:sz w:val="18"/>
                <w:szCs w:val="20"/>
                <w:highlight w:val="none"/>
              </w:rPr>
              <w:t>100</w:t>
            </w:r>
          </w:p>
        </w:tc>
      </w:tr>
    </w:tbl>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方正仿宋_GBK" w:hAnsi="方正仿宋_GBK" w:eastAsia="方正仿宋_GBK" w:cs="方正仿宋_GBK"/>
          <w:color w:val="auto"/>
          <w:highlight w:val="none"/>
        </w:rPr>
      </w:pPr>
      <w:r>
        <w:rPr>
          <w:color w:val="auto"/>
          <w:highlight w:val="none"/>
        </w:rPr>
        <w:br w:type="column"/>
      </w:r>
      <w:r>
        <w:rPr>
          <w:rFonts w:hint="eastAsia" w:ascii="Times New Roman" w:hAnsi="Times New Roman" w:eastAsia="方正仿宋_GBK" w:cs="方正仿宋_GBK"/>
          <w:color w:val="auto"/>
          <w:highlight w:val="none"/>
        </w:rPr>
        <w:t>3</w:t>
      </w:r>
      <w:r>
        <w:rPr>
          <w:rFonts w:hint="eastAsia" w:ascii="方正仿宋_GBK" w:hAnsi="方正仿宋_GBK" w:eastAsia="方正仿宋_GBK" w:cs="方正仿宋_GBK"/>
          <w:color w:val="auto"/>
          <w:highlight w:val="none"/>
        </w:rPr>
        <w:t>、绩效评价方法</w:t>
      </w:r>
      <w:bookmarkEnd w:id="8"/>
      <w:bookmarkEnd w:id="9"/>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结合</w:t>
      </w:r>
      <w:r>
        <w:rPr>
          <w:rFonts w:hint="eastAsia" w:ascii="方正仿宋_GBK" w:hAnsi="方正仿宋_GBK" w:eastAsia="方正仿宋_GBK" w:cs="方正仿宋_GBK"/>
          <w:color w:val="auto"/>
          <w:highlight w:val="none"/>
          <w:lang w:eastAsia="zh-CN"/>
        </w:rPr>
        <w:t>草原生态保护补助奖励资金</w:t>
      </w:r>
      <w:r>
        <w:rPr>
          <w:rFonts w:hint="eastAsia" w:ascii="方正仿宋_GBK" w:hAnsi="方正仿宋_GBK" w:eastAsia="方正仿宋_GBK" w:cs="方正仿宋_GBK"/>
          <w:color w:val="auto"/>
          <w:highlight w:val="none"/>
        </w:rPr>
        <w:t>的特点，本次评价主要运用比较法、公众评判法，</w:t>
      </w:r>
      <w:r>
        <w:rPr>
          <w:rFonts w:hint="eastAsia" w:ascii="方正仿宋_GBK" w:hAnsi="方正仿宋_GBK" w:eastAsia="方正仿宋_GBK" w:cs="方正仿宋_GBK"/>
          <w:color w:val="auto"/>
          <w:highlight w:val="none"/>
          <w:lang w:val="en-US" w:eastAsia="zh-CN"/>
        </w:rPr>
        <w:t>原因是</w:t>
      </w:r>
      <w:r>
        <w:rPr>
          <w:rFonts w:hint="eastAsia" w:ascii="方正仿宋_GBK" w:hAnsi="方正仿宋_GBK" w:eastAsia="方正仿宋_GBK" w:cs="方正仿宋_GBK"/>
          <w:color w:val="auto"/>
          <w:highlight w:val="none"/>
        </w:rPr>
        <w:t>：</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比较法：本项目绩效评价将项目实施情况即实际完成的实施草原禁牧面积、实施草畜平衡面积</w:t>
      </w:r>
      <w:r>
        <w:rPr>
          <w:rFonts w:hint="eastAsia" w:ascii="方正仿宋_GBK" w:hAnsi="方正仿宋_GBK" w:eastAsia="方正仿宋_GBK" w:cs="方正仿宋_GBK"/>
          <w:color w:val="auto"/>
          <w:highlight w:val="none"/>
          <w:lang w:val="en-US" w:eastAsia="zh-CN"/>
        </w:rPr>
        <w:t>、</w:t>
      </w:r>
      <w:r>
        <w:rPr>
          <w:rFonts w:hint="eastAsia" w:ascii="方正仿宋_GBK" w:hAnsi="方正仿宋_GBK" w:eastAsia="方正仿宋_GBK" w:cs="方正仿宋_GBK"/>
          <w:color w:val="auto"/>
          <w:highlight w:val="none"/>
        </w:rPr>
        <w:t>草原保护利用奖补资金发放准确率</w:t>
      </w:r>
      <w:r>
        <w:rPr>
          <w:rFonts w:hint="eastAsia" w:ascii="方正仿宋_GBK" w:hAnsi="方正仿宋_GBK" w:eastAsia="方正仿宋_GBK" w:cs="方正仿宋_GBK"/>
          <w:color w:val="auto"/>
          <w:highlight w:val="none"/>
          <w:lang w:val="en-US" w:eastAsia="zh-CN"/>
        </w:rPr>
        <w:t>、</w:t>
      </w:r>
      <w:r>
        <w:rPr>
          <w:rFonts w:hint="eastAsia" w:ascii="方正仿宋_GBK" w:hAnsi="方正仿宋_GBK" w:eastAsia="方正仿宋_GBK" w:cs="方正仿宋_GBK"/>
          <w:color w:val="auto"/>
          <w:highlight w:val="none"/>
        </w:rPr>
        <w:t>草原保护利用补助奖励资金发放到位及时率与年初设定的</w:t>
      </w:r>
      <w:r>
        <w:rPr>
          <w:rFonts w:hint="eastAsia" w:ascii="方正仿宋_GBK" w:hAnsi="方正仿宋_GBK" w:eastAsia="方正仿宋_GBK" w:cs="方正仿宋_GBK"/>
          <w:color w:val="auto"/>
          <w:highlight w:val="none"/>
          <w:lang w:val="en-US" w:eastAsia="zh-CN"/>
        </w:rPr>
        <w:t>目标</w:t>
      </w:r>
      <w:r>
        <w:rPr>
          <w:rFonts w:hint="eastAsia" w:ascii="方正仿宋_GBK" w:hAnsi="方正仿宋_GBK" w:eastAsia="方正仿宋_GBK" w:cs="方正仿宋_GBK"/>
          <w:color w:val="auto"/>
          <w:highlight w:val="none"/>
        </w:rPr>
        <w:t>进行比较。</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公众评判法：通过对</w:t>
      </w:r>
      <w:r>
        <w:rPr>
          <w:rFonts w:hint="eastAsia" w:ascii="方正仿宋_GBK" w:hAnsi="方正仿宋_GBK" w:eastAsia="方正仿宋_GBK" w:cs="方正仿宋_GBK"/>
          <w:color w:val="auto"/>
          <w:highlight w:val="none"/>
          <w:lang w:eastAsia="zh-CN"/>
        </w:rPr>
        <w:t>尉犁县享受草场补贴的牧民</w:t>
      </w:r>
      <w:r>
        <w:rPr>
          <w:rFonts w:hint="eastAsia" w:ascii="方正仿宋_GBK" w:hAnsi="方正仿宋_GBK" w:eastAsia="方正仿宋_GBK" w:cs="方正仿宋_GBK"/>
          <w:color w:val="auto"/>
          <w:highlight w:val="none"/>
        </w:rPr>
        <w:t>进行问卷及抽样调查等对财政资金效果进行评判，评价绩效目标实现程度。</w:t>
      </w:r>
    </w:p>
    <w:p>
      <w:pPr>
        <w:bidi w:val="0"/>
        <w:rPr>
          <w:b/>
          <w:bCs/>
          <w:color w:val="auto"/>
          <w:highlight w:val="none"/>
        </w:rPr>
      </w:pPr>
      <w:r>
        <w:rPr>
          <w:rFonts w:hint="eastAsia" w:ascii="Times New Roman" w:hAnsi="Times New Roman"/>
          <w:b/>
          <w:bCs/>
          <w:color w:val="auto"/>
          <w:highlight w:val="none"/>
        </w:rPr>
        <w:t>4</w:t>
      </w:r>
      <w:r>
        <w:rPr>
          <w:rFonts w:hint="eastAsia"/>
          <w:b/>
          <w:bCs/>
          <w:color w:val="auto"/>
          <w:highlight w:val="none"/>
        </w:rPr>
        <w:t>、绩效评价标准</w:t>
      </w:r>
    </w:p>
    <w:p>
      <w:pPr>
        <w:bidi w:val="0"/>
        <w:rPr>
          <w:rFonts w:hint="eastAsia" w:ascii="方正仿宋_GBK" w:hAnsi="方正仿宋_GBK" w:eastAsia="方正仿宋_GBK" w:cs="方正仿宋_GBK"/>
          <w:color w:val="auto"/>
          <w:highlight w:val="none"/>
          <w:lang w:val="en-US" w:eastAsia="zh-CN"/>
        </w:rPr>
      </w:pPr>
      <w:r>
        <w:rPr>
          <w:rFonts w:hint="eastAsia" w:ascii="方正仿宋_GBK" w:hAnsi="方正仿宋_GBK" w:eastAsia="方正仿宋_GBK" w:cs="方正仿宋_GBK"/>
          <w:color w:val="auto"/>
          <w:highlight w:val="none"/>
        </w:rPr>
        <w:t>结合</w:t>
      </w:r>
      <w:r>
        <w:rPr>
          <w:rFonts w:hint="eastAsia" w:ascii="方正仿宋_GBK" w:hAnsi="方正仿宋_GBK" w:eastAsia="方正仿宋_GBK" w:cs="方正仿宋_GBK"/>
          <w:color w:val="auto"/>
          <w:highlight w:val="none"/>
          <w:lang w:eastAsia="zh-CN"/>
        </w:rPr>
        <w:t>草原生态保护补助奖励资金</w:t>
      </w:r>
      <w:r>
        <w:rPr>
          <w:rFonts w:hint="eastAsia" w:ascii="方正仿宋_GBK" w:hAnsi="方正仿宋_GBK" w:eastAsia="方正仿宋_GBK" w:cs="方正仿宋_GBK"/>
          <w:color w:val="auto"/>
          <w:highlight w:val="none"/>
        </w:rPr>
        <w:t>的特点，本次项目支出绩效自评采用了</w:t>
      </w:r>
      <w:r>
        <w:rPr>
          <w:rFonts w:hint="eastAsia" w:ascii="方正仿宋_GBK" w:hAnsi="方正仿宋_GBK" w:eastAsia="方正仿宋_GBK" w:cs="方正仿宋_GBK"/>
          <w:color w:val="auto"/>
          <w:highlight w:val="none"/>
          <w:lang w:val="en-US" w:eastAsia="zh-CN"/>
        </w:rPr>
        <w:t>以下标准：</w:t>
      </w:r>
    </w:p>
    <w:p>
      <w:pPr>
        <w:bidi w:val="0"/>
        <w:rPr>
          <w:rFonts w:hint="eastAsia" w:ascii="Times New Roman" w:hAnsi="Times New Roman" w:eastAsia="方正仿宋_GBK" w:cs="Times New Roman"/>
          <w:b w:val="0"/>
          <w:color w:val="auto"/>
          <w:kern w:val="2"/>
          <w:sz w:val="32"/>
          <w:szCs w:val="22"/>
          <w:highlight w:val="none"/>
          <w:lang w:val="en-US" w:eastAsia="zh-CN" w:bidi="ar-SA"/>
        </w:rPr>
      </w:pPr>
      <w:r>
        <w:rPr>
          <w:rFonts w:hint="eastAsia" w:ascii="方正仿宋_GBK" w:hAnsi="方正仿宋_GBK" w:eastAsia="方正仿宋_GBK" w:cs="方正仿宋_GBK"/>
          <w:color w:val="auto"/>
          <w:highlight w:val="none"/>
          <w:lang w:val="en-US" w:eastAsia="zh-CN"/>
        </w:rPr>
        <w:t>（</w:t>
      </w:r>
      <w:r>
        <w:rPr>
          <w:rFonts w:hint="eastAsia" w:ascii="Times New Roman" w:hAnsi="Times New Roman" w:eastAsia="方正仿宋_GBK" w:cs="方正仿宋_GBK"/>
          <w:color w:val="auto"/>
          <w:highlight w:val="none"/>
          <w:lang w:val="en-US" w:eastAsia="zh-CN"/>
        </w:rPr>
        <w:t>1</w:t>
      </w:r>
      <w:r>
        <w:rPr>
          <w:rFonts w:hint="eastAsia" w:ascii="方正仿宋_GBK" w:hAnsi="方正仿宋_GBK" w:eastAsia="方正仿宋_GBK" w:cs="方正仿宋_GBK"/>
          <w:color w:val="auto"/>
          <w:highlight w:val="none"/>
          <w:lang w:val="en-US" w:eastAsia="zh-CN"/>
        </w:rPr>
        <w:t>）</w:t>
      </w:r>
      <w:r>
        <w:rPr>
          <w:rFonts w:hint="eastAsia" w:ascii="方正仿宋_GBK" w:hAnsi="方正仿宋_GBK" w:eastAsia="方正仿宋_GBK" w:cs="方正仿宋_GBK"/>
          <w:color w:val="auto"/>
          <w:highlight w:val="none"/>
        </w:rPr>
        <w:t>计划标准，</w:t>
      </w:r>
      <w:r>
        <w:rPr>
          <w:rFonts w:hint="eastAsia" w:ascii="Times New Roman" w:hAnsi="Times New Roman" w:eastAsia="方正仿宋_GBK" w:cs="Times New Roman"/>
          <w:b w:val="0"/>
          <w:color w:val="auto"/>
          <w:kern w:val="2"/>
          <w:sz w:val="32"/>
          <w:szCs w:val="22"/>
          <w:highlight w:val="none"/>
          <w:lang w:val="en-US" w:eastAsia="zh-CN" w:bidi="ar-SA"/>
        </w:rPr>
        <w:t>原因是：根据绩效目标表，以预先制定的实施草原禁牧面积160万亩、实施草畜平衡面积917.61万亩、</w:t>
      </w:r>
      <w:r>
        <w:rPr>
          <w:rFonts w:hint="eastAsia" w:eastAsia="方正仿宋_GBK" w:cs="Times New Roman"/>
          <w:b w:val="0"/>
          <w:color w:val="auto"/>
          <w:kern w:val="2"/>
          <w:sz w:val="32"/>
          <w:szCs w:val="22"/>
          <w:highlight w:val="none"/>
          <w:lang w:val="en-US" w:eastAsia="zh-CN" w:bidi="ar-SA"/>
        </w:rPr>
        <w:t>补贴资金到户率100%</w:t>
      </w:r>
      <w:r>
        <w:rPr>
          <w:rFonts w:hint="eastAsia" w:ascii="Times New Roman" w:hAnsi="Times New Roman" w:eastAsia="方正仿宋_GBK" w:cs="Times New Roman"/>
          <w:b w:val="0"/>
          <w:color w:val="auto"/>
          <w:kern w:val="2"/>
          <w:sz w:val="32"/>
          <w:szCs w:val="22"/>
          <w:highlight w:val="none"/>
          <w:lang w:val="en-US" w:eastAsia="zh-CN" w:bidi="ar-SA"/>
        </w:rPr>
        <w:t>为计划数作为评价的标准。</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lang w:eastAsia="zh-CN"/>
        </w:rPr>
        <w:t>（</w:t>
      </w:r>
      <w:r>
        <w:rPr>
          <w:rFonts w:hint="eastAsia" w:ascii="Times New Roman" w:hAnsi="Times New Roman" w:eastAsia="方正仿宋_GBK" w:cs="方正仿宋_GBK"/>
          <w:color w:val="auto"/>
          <w:highlight w:val="none"/>
          <w:lang w:val="en-US" w:eastAsia="zh-CN"/>
        </w:rPr>
        <w:t>2</w:t>
      </w:r>
      <w:r>
        <w:rPr>
          <w:rFonts w:hint="eastAsia" w:ascii="方正仿宋_GBK" w:hAnsi="方正仿宋_GBK" w:eastAsia="方正仿宋_GBK" w:cs="方正仿宋_GBK"/>
          <w:color w:val="auto"/>
          <w:highlight w:val="none"/>
          <w:lang w:eastAsia="zh-CN"/>
        </w:rPr>
        <w:t>）</w:t>
      </w:r>
      <w:r>
        <w:rPr>
          <w:rFonts w:hint="eastAsia" w:ascii="方正仿宋_GBK" w:hAnsi="方正仿宋_GBK" w:eastAsia="方正仿宋_GBK" w:cs="方正仿宋_GBK"/>
          <w:color w:val="auto"/>
          <w:highlight w:val="none"/>
        </w:rPr>
        <w:t>历史标准，原因</w:t>
      </w:r>
      <w:r>
        <w:rPr>
          <w:rFonts w:hint="eastAsia" w:ascii="方正仿宋_GBK" w:hAnsi="方正仿宋_GBK" w:eastAsia="方正仿宋_GBK" w:cs="方正仿宋_GBK"/>
          <w:color w:val="auto"/>
          <w:highlight w:val="none"/>
          <w:lang w:val="en-US" w:eastAsia="zh-CN"/>
        </w:rPr>
        <w:t>是</w:t>
      </w:r>
      <w:r>
        <w:rPr>
          <w:rFonts w:hint="eastAsia" w:ascii="方正仿宋_GBK" w:hAnsi="方正仿宋_GBK" w:eastAsia="方正仿宋_GBK" w:cs="方正仿宋_GBK"/>
          <w:color w:val="auto"/>
          <w:highlight w:val="none"/>
        </w:rPr>
        <w:t>：参照本单位同类单位绩效评价指标的历史数据作为样本，运用一定的统计学方法计算出各类指标的平均历史水平作为评价标准。</w:t>
      </w:r>
    </w:p>
    <w:p>
      <w:pPr>
        <w:pStyle w:val="2"/>
        <w:bidi w:val="0"/>
        <w:rPr>
          <w:rFonts w:hint="eastAsia" w:ascii="方正仿宋_GBK" w:hAnsi="方正仿宋_GBK" w:eastAsia="方正仿宋_GBK" w:cs="方正仿宋_GBK"/>
          <w:color w:val="auto"/>
          <w:highlight w:val="none"/>
        </w:rPr>
      </w:pPr>
      <w:bookmarkStart w:id="10" w:name="_Toc23796"/>
      <w:r>
        <w:rPr>
          <w:rFonts w:hint="eastAsia" w:ascii="方正仿宋_GBK" w:hAnsi="方正仿宋_GBK" w:eastAsia="方正仿宋_GBK" w:cs="方正仿宋_GBK"/>
          <w:color w:val="auto"/>
          <w:highlight w:val="none"/>
        </w:rPr>
        <w:t>（三）绩效评价工作过程</w:t>
      </w:r>
      <w:bookmarkEnd w:id="10"/>
      <w:bookmarkStart w:id="11" w:name="_Toc17595"/>
      <w:bookmarkStart w:id="12" w:name="_Toc30911"/>
      <w:bookmarkStart w:id="13" w:name="_Toc22987"/>
      <w:bookmarkStart w:id="14" w:name="_Toc27442"/>
    </w:p>
    <w:p>
      <w:pPr>
        <w:bidi w:val="0"/>
        <w:rPr>
          <w:rFonts w:hint="eastAsia" w:ascii="方正仿宋_GBK" w:hAnsi="方正仿宋_GBK" w:eastAsia="方正仿宋_GBK" w:cs="方正仿宋_GBK"/>
          <w:b/>
          <w:bCs/>
          <w:color w:val="auto"/>
          <w:highlight w:val="none"/>
        </w:rPr>
      </w:pPr>
      <w:r>
        <w:rPr>
          <w:rFonts w:hint="eastAsia" w:ascii="Times New Roman" w:hAnsi="Times New Roman" w:eastAsia="方正仿宋_GBK" w:cs="方正仿宋_GBK"/>
          <w:b/>
          <w:bCs/>
          <w:color w:val="auto"/>
          <w:highlight w:val="none"/>
        </w:rPr>
        <w:t>1</w:t>
      </w:r>
      <w:r>
        <w:rPr>
          <w:rFonts w:hint="eastAsia" w:ascii="方正仿宋_GBK" w:hAnsi="方正仿宋_GBK" w:eastAsia="方正仿宋_GBK" w:cs="方正仿宋_GBK"/>
          <w:b/>
          <w:bCs/>
          <w:color w:val="auto"/>
          <w:highlight w:val="none"/>
        </w:rPr>
        <w:t>、前期准备</w:t>
      </w:r>
    </w:p>
    <w:p>
      <w:pPr>
        <w:bidi w:val="0"/>
        <w:rPr>
          <w:rFonts w:hint="eastAsia" w:ascii="Times New Roman" w:hAnsi="Times New Roman" w:eastAsia="方正仿宋_GBK" w:cs="Times New Roman"/>
          <w:b w:val="0"/>
          <w:color w:val="auto"/>
          <w:kern w:val="2"/>
          <w:sz w:val="32"/>
          <w:szCs w:val="22"/>
          <w:highlight w:val="none"/>
          <w:lang w:val="en-US" w:eastAsia="zh-CN" w:bidi="ar-SA"/>
        </w:rPr>
      </w:pPr>
      <w:r>
        <w:rPr>
          <w:rFonts w:hint="eastAsia" w:ascii="方正仿宋_GBK" w:hAnsi="方正仿宋_GBK" w:eastAsia="方正仿宋_GBK" w:cs="方正仿宋_GBK"/>
          <w:bCs/>
          <w:color w:val="auto"/>
          <w:szCs w:val="32"/>
          <w:highlight w:val="none"/>
        </w:rPr>
        <w:t>按照《项目支出绩效评价管理办法》</w:t>
      </w:r>
      <w:r>
        <w:rPr>
          <w:rFonts w:hint="eastAsia" w:ascii="Times New Roman" w:hAnsi="Times New Roman" w:eastAsia="方正仿宋_GBK" w:cs="Times New Roman"/>
          <w:b w:val="0"/>
          <w:color w:val="auto"/>
          <w:kern w:val="2"/>
          <w:sz w:val="32"/>
          <w:szCs w:val="22"/>
          <w:highlight w:val="none"/>
          <w:lang w:val="en-US" w:eastAsia="zh-CN" w:bidi="ar-SA"/>
        </w:rPr>
        <w:t>（财预〔2020〕10号）文件要求，尉犁县林业和草原局成立了绩效评价小组，对项目实施的全过程，收集、整理项目实施的相关资料，了解项目实施情况和资金支付情况。从项目内容出发，结合项目预期目标，制定绩效评价的指标体系。</w:t>
      </w:r>
    </w:p>
    <w:p>
      <w:pPr>
        <w:bidi w:val="0"/>
        <w:rPr>
          <w:rFonts w:hint="eastAsia" w:ascii="方正仿宋_GBK" w:hAnsi="方正仿宋_GBK" w:eastAsia="方正仿宋_GBK" w:cs="方正仿宋_GBK"/>
          <w:b/>
          <w:bCs/>
          <w:color w:val="auto"/>
          <w:highlight w:val="none"/>
        </w:rPr>
      </w:pPr>
      <w:r>
        <w:rPr>
          <w:rFonts w:hint="eastAsia" w:ascii="Times New Roman" w:hAnsi="Times New Roman" w:eastAsia="方正仿宋_GBK" w:cs="方正仿宋_GBK"/>
          <w:b/>
          <w:bCs/>
          <w:color w:val="auto"/>
          <w:highlight w:val="none"/>
        </w:rPr>
        <w:t>2</w:t>
      </w:r>
      <w:r>
        <w:rPr>
          <w:rFonts w:hint="eastAsia" w:ascii="方正仿宋_GBK" w:hAnsi="方正仿宋_GBK" w:eastAsia="方正仿宋_GBK" w:cs="方正仿宋_GBK"/>
          <w:b/>
          <w:bCs/>
          <w:color w:val="auto"/>
          <w:highlight w:val="none"/>
        </w:rPr>
        <w:t>、组织实施</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评价的具体实施根据评价指标及评价工作要求，对具体评价内容和不同环节，采用以下取得的资料与评价方式。</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w:t>
      </w:r>
      <w:r>
        <w:rPr>
          <w:rFonts w:hint="eastAsia" w:ascii="Times New Roman" w:hAnsi="Times New Roman" w:eastAsia="方正仿宋_GBK" w:cs="方正仿宋_GBK"/>
          <w:color w:val="auto"/>
          <w:highlight w:val="none"/>
        </w:rPr>
        <w:t>1</w:t>
      </w:r>
      <w:r>
        <w:rPr>
          <w:rFonts w:hint="eastAsia" w:ascii="方正仿宋_GBK" w:hAnsi="方正仿宋_GBK" w:eastAsia="方正仿宋_GBK" w:cs="方正仿宋_GBK"/>
          <w:color w:val="auto"/>
          <w:highlight w:val="none"/>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w:t>
      </w:r>
      <w:r>
        <w:rPr>
          <w:rFonts w:hint="eastAsia" w:ascii="Times New Roman" w:hAnsi="Times New Roman" w:eastAsia="方正仿宋_GBK" w:cs="方正仿宋_GBK"/>
          <w:color w:val="auto"/>
          <w:highlight w:val="none"/>
        </w:rPr>
        <w:t>2</w:t>
      </w:r>
      <w:r>
        <w:rPr>
          <w:rFonts w:hint="eastAsia" w:ascii="方正仿宋_GBK" w:hAnsi="方正仿宋_GBK" w:eastAsia="方正仿宋_GBK" w:cs="方正仿宋_GBK"/>
          <w:color w:val="auto"/>
          <w:highlight w:val="none"/>
        </w:rPr>
        <w:t>）问卷调查。选择与项目评价有关的调查对象，设计调查问卷。通过问卷调查，对有关评价内容完成情况进行打分，并根据分值评价绩效目标完成情况，作为对项目评价的依据。</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w:t>
      </w:r>
      <w:r>
        <w:rPr>
          <w:rFonts w:hint="eastAsia" w:ascii="Times New Roman" w:hAnsi="Times New Roman" w:eastAsia="方正仿宋_GBK" w:cs="方正仿宋_GBK"/>
          <w:color w:val="auto"/>
          <w:highlight w:val="none"/>
        </w:rPr>
        <w:t>3</w:t>
      </w:r>
      <w:r>
        <w:rPr>
          <w:rFonts w:hint="eastAsia" w:ascii="方正仿宋_GBK" w:hAnsi="方正仿宋_GBK" w:eastAsia="方正仿宋_GBK" w:cs="方正仿宋_GBK"/>
          <w:color w:val="auto"/>
          <w:highlight w:val="none"/>
        </w:rPr>
        <w:t>）项目评价小组人员与专业技术人员相结合评价。对绩效评价工作专业性较强的内容，在评价工作过程中，采用以专业技术人员与有关科室、其他部门专业人员进行评价相结合的方式，分别对相关专业指标进行现场问询、检验和考查。</w:t>
      </w:r>
    </w:p>
    <w:p>
      <w:pPr>
        <w:bidi w:val="0"/>
        <w:rPr>
          <w:rFonts w:hint="eastAsia" w:ascii="方正仿宋_GBK" w:hAnsi="方正仿宋_GBK" w:eastAsia="方正仿宋_GBK" w:cs="方正仿宋_GBK"/>
          <w:b/>
          <w:bCs/>
          <w:color w:val="auto"/>
          <w:highlight w:val="none"/>
        </w:rPr>
      </w:pPr>
      <w:r>
        <w:rPr>
          <w:rFonts w:hint="eastAsia" w:ascii="Times New Roman" w:hAnsi="Times New Roman" w:eastAsia="方正仿宋_GBK" w:cs="方正仿宋_GBK"/>
          <w:b/>
          <w:bCs/>
          <w:color w:val="auto"/>
          <w:highlight w:val="none"/>
        </w:rPr>
        <w:t>3</w:t>
      </w:r>
      <w:r>
        <w:rPr>
          <w:rFonts w:hint="eastAsia" w:ascii="方正仿宋_GBK" w:hAnsi="方正仿宋_GBK" w:eastAsia="方正仿宋_GBK" w:cs="方正仿宋_GBK"/>
          <w:b/>
          <w:bCs/>
          <w:color w:val="auto"/>
          <w:highlight w:val="none"/>
        </w:rPr>
        <w:t>、数据集中分析</w:t>
      </w:r>
      <w:bookmarkEnd w:id="11"/>
      <w:bookmarkEnd w:id="12"/>
      <w:bookmarkEnd w:id="13"/>
      <w:bookmarkEnd w:id="14"/>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对相关资料，包括资金文件、项目实施方案、相关管理办法，问卷调查等进行集中分析。在查阅大量项目资料的基础上，根据考察、考评的结果进行整理、分析。</w:t>
      </w:r>
      <w:bookmarkStart w:id="15" w:name="_Toc20775"/>
    </w:p>
    <w:p>
      <w:pPr>
        <w:bidi w:val="0"/>
        <w:rPr>
          <w:rFonts w:hint="eastAsia" w:ascii="方正仿宋_GBK" w:hAnsi="方正仿宋_GBK" w:eastAsia="方正仿宋_GBK" w:cs="方正仿宋_GBK"/>
          <w:b/>
          <w:bCs/>
          <w:color w:val="auto"/>
          <w:highlight w:val="none"/>
        </w:rPr>
      </w:pPr>
      <w:r>
        <w:rPr>
          <w:rFonts w:hint="eastAsia" w:ascii="Times New Roman" w:hAnsi="Times New Roman" w:eastAsia="方正仿宋_GBK" w:cs="方正仿宋_GBK"/>
          <w:b/>
          <w:bCs/>
          <w:color w:val="auto"/>
          <w:highlight w:val="none"/>
        </w:rPr>
        <w:t>4</w:t>
      </w:r>
      <w:r>
        <w:rPr>
          <w:rFonts w:hint="eastAsia" w:ascii="方正仿宋_GBK" w:hAnsi="方正仿宋_GBK" w:eastAsia="方正仿宋_GBK" w:cs="方正仿宋_GBK"/>
          <w:b/>
          <w:bCs/>
          <w:color w:val="auto"/>
          <w:highlight w:val="none"/>
        </w:rPr>
        <w:t>、分析总结</w:t>
      </w:r>
      <w:bookmarkEnd w:id="15"/>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w:t>
      </w:r>
      <w:r>
        <w:rPr>
          <w:rFonts w:hint="eastAsia" w:ascii="Times New Roman" w:hAnsi="Times New Roman" w:eastAsia="方正仿宋_GBK" w:cs="方正仿宋_GBK"/>
          <w:color w:val="auto"/>
          <w:highlight w:val="none"/>
        </w:rPr>
        <w:t>1</w:t>
      </w:r>
      <w:r>
        <w:rPr>
          <w:rFonts w:hint="eastAsia" w:ascii="方正仿宋_GBK" w:hAnsi="方正仿宋_GBK" w:eastAsia="方正仿宋_GBK" w:cs="方正仿宋_GBK"/>
          <w:color w:val="auto"/>
          <w:highlight w:val="none"/>
        </w:rPr>
        <w:t>）根据部门自评的意见及考察、考评的结果进行整理、分析，撰写绩效评价报告初稿。</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w:t>
      </w:r>
      <w:r>
        <w:rPr>
          <w:rFonts w:hint="eastAsia" w:ascii="Times New Roman" w:hAnsi="Times New Roman" w:eastAsia="方正仿宋_GBK" w:cs="方正仿宋_GBK"/>
          <w:color w:val="auto"/>
          <w:highlight w:val="none"/>
        </w:rPr>
        <w:t>2</w:t>
      </w:r>
      <w:r>
        <w:rPr>
          <w:rFonts w:hint="eastAsia" w:ascii="方正仿宋_GBK" w:hAnsi="方正仿宋_GBK" w:eastAsia="方正仿宋_GBK" w:cs="方正仿宋_GBK"/>
          <w:color w:val="auto"/>
          <w:highlight w:val="none"/>
        </w:rPr>
        <w:t>）就部门自评报告与部门具体有关科室征求意见，形成最终的绩效评价报告。</w:t>
      </w:r>
    </w:p>
    <w:p>
      <w:pPr>
        <w:pStyle w:val="4"/>
        <w:bidi w:val="0"/>
        <w:rPr>
          <w:rFonts w:hint="eastAsia" w:ascii="方正仿宋_GBK" w:hAnsi="方正仿宋_GBK" w:eastAsia="方正仿宋_GBK" w:cs="方正仿宋_GBK"/>
          <w:color w:val="auto"/>
          <w:highlight w:val="none"/>
        </w:rPr>
      </w:pPr>
      <w:bookmarkStart w:id="16" w:name="_Toc20784"/>
      <w:r>
        <w:rPr>
          <w:rFonts w:hint="eastAsia" w:ascii="方正仿宋_GBK" w:hAnsi="方正仿宋_GBK" w:eastAsia="方正仿宋_GBK" w:cs="方正仿宋_GBK"/>
          <w:color w:val="auto"/>
          <w:highlight w:val="none"/>
        </w:rPr>
        <w:t>三、综合评价情况及评价结论</w:t>
      </w:r>
      <w:bookmarkEnd w:id="16"/>
    </w:p>
    <w:p>
      <w:pPr>
        <w:bidi w:val="0"/>
        <w:rPr>
          <w:rFonts w:hint="eastAsia" w:ascii="Times New Roman" w:hAnsi="Times New Roman" w:eastAsia="方正仿宋_GBK" w:cs="Times New Roman"/>
          <w:b w:val="0"/>
          <w:color w:val="auto"/>
          <w:kern w:val="2"/>
          <w:sz w:val="32"/>
          <w:szCs w:val="22"/>
          <w:highlight w:val="none"/>
          <w:lang w:val="en-US" w:eastAsia="zh-CN" w:bidi="ar-SA"/>
        </w:rPr>
      </w:pPr>
      <w:r>
        <w:rPr>
          <w:rFonts w:hint="eastAsia" w:ascii="方正仿宋_GBK" w:hAnsi="方正仿宋_GBK" w:eastAsia="方正仿宋_GBK" w:cs="方正仿宋_GBK"/>
          <w:color w:val="auto"/>
          <w:highlight w:val="none"/>
        </w:rPr>
        <w:t>本项目的绩效评价结果为“优”</w:t>
      </w:r>
      <w:r>
        <w:rPr>
          <w:rFonts w:hint="eastAsia" w:ascii="Times New Roman" w:hAnsi="Times New Roman" w:eastAsia="方正仿宋_GBK" w:cs="Times New Roman"/>
          <w:b w:val="0"/>
          <w:color w:val="auto"/>
          <w:kern w:val="2"/>
          <w:sz w:val="32"/>
          <w:szCs w:val="22"/>
          <w:highlight w:val="none"/>
          <w:lang w:val="en-US" w:eastAsia="zh-CN" w:bidi="ar-SA"/>
        </w:rPr>
        <w:t>，综合评分100分。其中项目决策22分，项目过程18分，项目产出管理得分40分，项目效益20分。各部分权重和绩效汇总分值如下表所示：</w:t>
      </w:r>
    </w:p>
    <w:tbl>
      <w:tblPr>
        <w:tblStyle w:val="10"/>
        <w:tblW w:w="8289" w:type="dxa"/>
        <w:jc w:val="center"/>
        <w:tblLayout w:type="fixed"/>
        <w:tblCellMar>
          <w:top w:w="0" w:type="dxa"/>
          <w:left w:w="0" w:type="dxa"/>
          <w:bottom w:w="0" w:type="dxa"/>
          <w:right w:w="0" w:type="dxa"/>
        </w:tblCellMar>
      </w:tblPr>
      <w:tblGrid>
        <w:gridCol w:w="1094"/>
        <w:gridCol w:w="1541"/>
        <w:gridCol w:w="1520"/>
        <w:gridCol w:w="1536"/>
        <w:gridCol w:w="1504"/>
        <w:gridCol w:w="1094"/>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tcMar>
              <w:top w:w="15" w:type="dxa"/>
              <w:left w:w="15" w:type="dxa"/>
              <w:right w:w="15" w:type="dxa"/>
            </w:tcMar>
            <w:vAlign w:val="center"/>
          </w:tcPr>
          <w:p>
            <w:pPr>
              <w:pStyle w:val="12"/>
              <w:bidi w:val="0"/>
              <w:rPr>
                <w:color w:val="auto"/>
                <w:highlight w:val="none"/>
              </w:rPr>
            </w:pPr>
            <w:r>
              <w:rPr>
                <w:rFonts w:hint="eastAsia"/>
                <w:color w:val="auto"/>
                <w:highlight w:val="none"/>
                <w:lang w:eastAsia="zh-CN"/>
              </w:rPr>
              <w:t>草原生态保护补助奖励资金</w:t>
            </w:r>
            <w:r>
              <w:rPr>
                <w:rFonts w:hint="eastAsia"/>
                <w:color w:val="auto"/>
                <w:highlight w:val="none"/>
              </w:rPr>
              <w:t>绩效评价</w:t>
            </w:r>
            <w:r>
              <w:rPr>
                <w:rFonts w:hint="eastAsia"/>
                <w:color w:val="auto"/>
                <w:highlight w:val="none"/>
                <w:lang w:val="zh-TW" w:eastAsia="zh-TW"/>
              </w:rPr>
              <w:t>得分表</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color w:val="auto"/>
                <w:highlight w:val="none"/>
              </w:rPr>
              <w:t>指标类别</w:t>
            </w:r>
          </w:p>
        </w:tc>
        <w:tc>
          <w:tcPr>
            <w:tcW w:w="15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ascii="Times New Roman" w:hAnsi="Times New Roman"/>
                <w:color w:val="auto"/>
                <w:highlight w:val="none"/>
              </w:rPr>
              <w:t>1</w:t>
            </w:r>
            <w:r>
              <w:rPr>
                <w:rFonts w:hint="eastAsia"/>
                <w:color w:val="auto"/>
                <w:highlight w:val="none"/>
              </w:rPr>
              <w:t>.项目决策</w:t>
            </w:r>
          </w:p>
        </w:tc>
        <w:tc>
          <w:tcPr>
            <w:tcW w:w="15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ascii="Times New Roman" w:hAnsi="Times New Roman"/>
                <w:color w:val="auto"/>
                <w:highlight w:val="none"/>
              </w:rPr>
              <w:t>2</w:t>
            </w:r>
            <w:r>
              <w:rPr>
                <w:rFonts w:hint="eastAsia"/>
                <w:color w:val="auto"/>
                <w:highlight w:val="none"/>
              </w:rPr>
              <w:t>.过程管理</w:t>
            </w:r>
          </w:p>
        </w:tc>
        <w:tc>
          <w:tcPr>
            <w:tcW w:w="15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ascii="Times New Roman" w:hAnsi="Times New Roman"/>
                <w:color w:val="auto"/>
                <w:highlight w:val="none"/>
              </w:rPr>
              <w:t>3</w:t>
            </w:r>
            <w:r>
              <w:rPr>
                <w:rFonts w:hint="eastAsia"/>
                <w:color w:val="auto"/>
                <w:highlight w:val="none"/>
              </w:rPr>
              <w:t>.项目产出</w:t>
            </w:r>
          </w:p>
        </w:tc>
        <w:tc>
          <w:tcPr>
            <w:tcW w:w="15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ascii="Times New Roman" w:hAnsi="Times New Roman"/>
                <w:color w:val="auto"/>
                <w:highlight w:val="none"/>
              </w:rPr>
              <w:t>4</w:t>
            </w:r>
            <w:r>
              <w:rPr>
                <w:rFonts w:hint="eastAsia"/>
                <w:color w:val="auto"/>
                <w:highlight w:val="none"/>
              </w:rPr>
              <w:t>.项目效益</w:t>
            </w:r>
          </w:p>
        </w:tc>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color w:val="auto"/>
                <w:highlight w:val="none"/>
              </w:rPr>
              <w:t>合计</w:t>
            </w:r>
          </w:p>
        </w:tc>
      </w:tr>
      <w:tr>
        <w:tblPrEx>
          <w:tblCellMar>
            <w:top w:w="0" w:type="dxa"/>
            <w:left w:w="0" w:type="dxa"/>
            <w:bottom w:w="0" w:type="dxa"/>
            <w:right w:w="0" w:type="dxa"/>
          </w:tblCellMar>
        </w:tblPrEx>
        <w:trPr>
          <w:trHeight w:val="441"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color w:val="auto"/>
                <w:highlight w:val="none"/>
              </w:rPr>
              <w:t>权重</w:t>
            </w:r>
          </w:p>
        </w:tc>
        <w:tc>
          <w:tcPr>
            <w:tcW w:w="15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ascii="Times New Roman" w:hAnsi="Times New Roman"/>
                <w:color w:val="auto"/>
                <w:highlight w:val="none"/>
              </w:rPr>
              <w:t>22</w:t>
            </w:r>
            <w:r>
              <w:rPr>
                <w:rFonts w:hint="eastAsia"/>
                <w:color w:val="auto"/>
                <w:highlight w:val="none"/>
              </w:rPr>
              <w:t>%</w:t>
            </w:r>
          </w:p>
        </w:tc>
        <w:tc>
          <w:tcPr>
            <w:tcW w:w="15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ascii="Times New Roman" w:hAnsi="Times New Roman"/>
                <w:color w:val="auto"/>
                <w:highlight w:val="none"/>
              </w:rPr>
              <w:t>18</w:t>
            </w:r>
            <w:r>
              <w:rPr>
                <w:rFonts w:hint="eastAsia"/>
                <w:color w:val="auto"/>
                <w:highlight w:val="none"/>
              </w:rPr>
              <w:t>%</w:t>
            </w:r>
          </w:p>
        </w:tc>
        <w:tc>
          <w:tcPr>
            <w:tcW w:w="15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ascii="Times New Roman" w:hAnsi="Times New Roman"/>
                <w:color w:val="auto"/>
                <w:highlight w:val="none"/>
              </w:rPr>
              <w:t>40</w:t>
            </w:r>
            <w:r>
              <w:rPr>
                <w:rFonts w:hint="eastAsia"/>
                <w:color w:val="auto"/>
                <w:highlight w:val="none"/>
              </w:rPr>
              <w:t>%</w:t>
            </w:r>
          </w:p>
        </w:tc>
        <w:tc>
          <w:tcPr>
            <w:tcW w:w="15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ascii="Times New Roman" w:hAnsi="Times New Roman"/>
                <w:color w:val="auto"/>
                <w:highlight w:val="none"/>
              </w:rPr>
              <w:t>20</w:t>
            </w:r>
            <w:r>
              <w:rPr>
                <w:rFonts w:hint="eastAsia"/>
                <w:color w:val="auto"/>
                <w:highlight w:val="none"/>
              </w:rPr>
              <w:t>%</w:t>
            </w:r>
          </w:p>
        </w:tc>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ascii="Times New Roman" w:hAnsi="Times New Roman"/>
                <w:color w:val="auto"/>
                <w:highlight w:val="none"/>
              </w:rPr>
              <w:t>100</w:t>
            </w:r>
            <w:r>
              <w:rPr>
                <w:rFonts w:hint="eastAsia"/>
                <w:color w:val="auto"/>
                <w:highlight w:val="none"/>
              </w:rPr>
              <w:t>%</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color w:val="auto"/>
                <w:highlight w:val="none"/>
              </w:rPr>
              <w:t>分值</w:t>
            </w:r>
          </w:p>
        </w:tc>
        <w:tc>
          <w:tcPr>
            <w:tcW w:w="15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ascii="Times New Roman" w:hAnsi="Times New Roman"/>
                <w:color w:val="auto"/>
                <w:highlight w:val="none"/>
              </w:rPr>
              <w:t>22</w:t>
            </w:r>
          </w:p>
        </w:tc>
        <w:tc>
          <w:tcPr>
            <w:tcW w:w="15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ascii="Times New Roman" w:hAnsi="Times New Roman"/>
                <w:color w:val="auto"/>
                <w:highlight w:val="none"/>
              </w:rPr>
              <w:t>18</w:t>
            </w:r>
          </w:p>
        </w:tc>
        <w:tc>
          <w:tcPr>
            <w:tcW w:w="15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ascii="Times New Roman" w:hAnsi="Times New Roman"/>
                <w:color w:val="auto"/>
                <w:highlight w:val="none"/>
              </w:rPr>
              <w:t>40</w:t>
            </w:r>
          </w:p>
        </w:tc>
        <w:tc>
          <w:tcPr>
            <w:tcW w:w="15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ascii="Times New Roman" w:hAnsi="Times New Roman"/>
                <w:color w:val="auto"/>
                <w:highlight w:val="none"/>
              </w:rPr>
              <w:t>20</w:t>
            </w:r>
          </w:p>
        </w:tc>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ascii="Times New Roman" w:hAnsi="Times New Roman"/>
                <w:color w:val="auto"/>
                <w:highlight w:val="none"/>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color w:val="auto"/>
                <w:highlight w:val="none"/>
              </w:rPr>
              <w:t>得分</w:t>
            </w:r>
          </w:p>
        </w:tc>
        <w:tc>
          <w:tcPr>
            <w:tcW w:w="15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ascii="Times New Roman" w:hAnsi="Times New Roman"/>
                <w:color w:val="auto"/>
                <w:highlight w:val="none"/>
              </w:rPr>
              <w:t>22</w:t>
            </w:r>
          </w:p>
        </w:tc>
        <w:tc>
          <w:tcPr>
            <w:tcW w:w="15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ascii="Times New Roman" w:hAnsi="Times New Roman"/>
                <w:color w:val="auto"/>
                <w:highlight w:val="none"/>
              </w:rPr>
              <w:t>18</w:t>
            </w:r>
          </w:p>
        </w:tc>
        <w:tc>
          <w:tcPr>
            <w:tcW w:w="15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ascii="Times New Roman" w:hAnsi="Times New Roman"/>
                <w:color w:val="auto"/>
                <w:highlight w:val="none"/>
              </w:rPr>
              <w:t>40</w:t>
            </w:r>
          </w:p>
        </w:tc>
        <w:tc>
          <w:tcPr>
            <w:tcW w:w="15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ascii="Times New Roman" w:hAnsi="Times New Roman"/>
                <w:color w:val="auto"/>
                <w:highlight w:val="none"/>
              </w:rPr>
              <w:t>20</w:t>
            </w:r>
          </w:p>
        </w:tc>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3"/>
              <w:bidi w:val="0"/>
              <w:rPr>
                <w:color w:val="auto"/>
                <w:highlight w:val="none"/>
              </w:rPr>
            </w:pPr>
            <w:r>
              <w:rPr>
                <w:rFonts w:hint="eastAsia" w:ascii="Times New Roman" w:hAnsi="Times New Roman"/>
                <w:color w:val="auto"/>
                <w:highlight w:val="none"/>
              </w:rPr>
              <w:t>100</w:t>
            </w:r>
          </w:p>
        </w:tc>
      </w:tr>
    </w:tbl>
    <w:p>
      <w:pPr>
        <w:bidi w:val="0"/>
        <w:rPr>
          <w:color w:val="auto"/>
          <w:highlight w:val="none"/>
        </w:rPr>
      </w:pPr>
    </w:p>
    <w:p>
      <w:pPr>
        <w:pStyle w:val="4"/>
        <w:bidi w:val="0"/>
        <w:rPr>
          <w:color w:val="auto"/>
          <w:highlight w:val="none"/>
        </w:rPr>
      </w:pPr>
      <w:bookmarkStart w:id="17" w:name="_Toc8960"/>
      <w:r>
        <w:rPr>
          <w:rFonts w:hint="eastAsia"/>
          <w:color w:val="auto"/>
          <w:highlight w:val="none"/>
        </w:rPr>
        <w:t>四、绩效评价指标分析</w:t>
      </w:r>
      <w:bookmarkEnd w:id="17"/>
    </w:p>
    <w:p>
      <w:pPr>
        <w:pStyle w:val="2"/>
        <w:bidi w:val="0"/>
        <w:rPr>
          <w:color w:val="auto"/>
          <w:highlight w:val="none"/>
        </w:rPr>
      </w:pPr>
      <w:bookmarkStart w:id="18" w:name="_Toc3445"/>
      <w:r>
        <w:rPr>
          <w:rFonts w:hint="eastAsia"/>
          <w:color w:val="auto"/>
          <w:highlight w:val="none"/>
        </w:rPr>
        <w:t>（一）项目决策情况</w:t>
      </w:r>
      <w:bookmarkEnd w:id="18"/>
    </w:p>
    <w:p>
      <w:pPr>
        <w:bidi w:val="0"/>
        <w:rPr>
          <w:rFonts w:hint="eastAsia" w:ascii="方正仿宋_GBK" w:hAnsi="方正仿宋_GBK" w:eastAsia="方正仿宋_GBK" w:cs="方正仿宋_GBK"/>
          <w:color w:val="auto"/>
          <w:highlight w:val="none"/>
        </w:rPr>
      </w:pPr>
      <w:r>
        <w:rPr>
          <w:rFonts w:hint="eastAsia" w:ascii="Times New Roman" w:hAnsi="Times New Roman" w:eastAsia="方正仿宋_GBK" w:cs="方正仿宋_GBK"/>
          <w:color w:val="auto"/>
          <w:highlight w:val="none"/>
        </w:rPr>
        <w:t>1</w:t>
      </w:r>
      <w:r>
        <w:rPr>
          <w:rFonts w:hint="eastAsia" w:ascii="方正仿宋_GBK" w:hAnsi="方正仿宋_GBK" w:eastAsia="方正仿宋_GBK" w:cs="方正仿宋_GBK"/>
          <w:color w:val="auto"/>
          <w:highlight w:val="none"/>
        </w:rPr>
        <w:t>、实施依据充分性</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w:t>
      </w:r>
      <w:r>
        <w:rPr>
          <w:rFonts w:hint="eastAsia" w:ascii="Times New Roman" w:hAnsi="Times New Roman" w:eastAsia="方正仿宋_GBK" w:cs="方正仿宋_GBK"/>
          <w:color w:val="auto"/>
          <w:highlight w:val="none"/>
        </w:rPr>
        <w:t>1</w:t>
      </w:r>
      <w:r>
        <w:rPr>
          <w:rFonts w:hint="eastAsia" w:ascii="方正仿宋_GBK" w:hAnsi="方正仿宋_GBK" w:eastAsia="方正仿宋_GBK" w:cs="方正仿宋_GBK"/>
          <w:color w:val="auto"/>
          <w:highlight w:val="none"/>
        </w:rPr>
        <w:t>）本项目申报和审批符合国家法律法规、国民经济发展规划和相关政策；</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w:t>
      </w:r>
      <w:r>
        <w:rPr>
          <w:rFonts w:hint="eastAsia" w:ascii="Times New Roman" w:hAnsi="Times New Roman" w:eastAsia="方正仿宋_GBK" w:cs="方正仿宋_GBK"/>
          <w:color w:val="auto"/>
          <w:highlight w:val="none"/>
        </w:rPr>
        <w:t>2</w:t>
      </w:r>
      <w:r>
        <w:rPr>
          <w:rFonts w:hint="eastAsia" w:ascii="方正仿宋_GBK" w:hAnsi="方正仿宋_GBK" w:eastAsia="方正仿宋_GBK" w:cs="方正仿宋_GBK"/>
          <w:color w:val="auto"/>
          <w:highlight w:val="none"/>
        </w:rPr>
        <w:t>）本项目申报和审批符合行业发展规划和政策要求；</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w:t>
      </w:r>
      <w:r>
        <w:rPr>
          <w:rFonts w:hint="eastAsia" w:ascii="Times New Roman" w:hAnsi="Times New Roman" w:eastAsia="方正仿宋_GBK" w:cs="方正仿宋_GBK"/>
          <w:color w:val="auto"/>
          <w:highlight w:val="none"/>
        </w:rPr>
        <w:t>3</w:t>
      </w:r>
      <w:r>
        <w:rPr>
          <w:rFonts w:hint="eastAsia" w:ascii="方正仿宋_GBK" w:hAnsi="方正仿宋_GBK" w:eastAsia="方正仿宋_GBK" w:cs="方正仿宋_GBK"/>
          <w:color w:val="auto"/>
          <w:highlight w:val="none"/>
        </w:rPr>
        <w:t>）项目</w:t>
      </w:r>
      <w:r>
        <w:rPr>
          <w:rFonts w:hint="eastAsia" w:ascii="方正仿宋_GBK" w:hAnsi="方正仿宋_GBK" w:eastAsia="方正仿宋_GBK" w:cs="方正仿宋_GBK"/>
          <w:color w:val="auto"/>
          <w:highlight w:val="none"/>
          <w:lang w:val="en-US" w:eastAsia="zh-CN"/>
        </w:rPr>
        <w:t>实施</w:t>
      </w:r>
      <w:r>
        <w:rPr>
          <w:rFonts w:hint="eastAsia" w:ascii="方正仿宋_GBK" w:hAnsi="方正仿宋_GBK" w:eastAsia="方正仿宋_GBK" w:cs="方正仿宋_GBK"/>
          <w:color w:val="auto"/>
          <w:highlight w:val="none"/>
        </w:rPr>
        <w:t>与部门职责范围相符，属于部门履职所需；</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w:t>
      </w:r>
      <w:r>
        <w:rPr>
          <w:rFonts w:hint="eastAsia" w:ascii="Times New Roman" w:hAnsi="Times New Roman" w:eastAsia="方正仿宋_GBK" w:cs="方正仿宋_GBK"/>
          <w:color w:val="auto"/>
          <w:highlight w:val="none"/>
        </w:rPr>
        <w:t>4</w:t>
      </w:r>
      <w:r>
        <w:rPr>
          <w:rFonts w:hint="eastAsia" w:ascii="方正仿宋_GBK" w:hAnsi="方正仿宋_GBK" w:eastAsia="方正仿宋_GBK" w:cs="方正仿宋_GBK"/>
          <w:color w:val="auto"/>
          <w:highlight w:val="none"/>
        </w:rPr>
        <w:t>）本项目属于公共财政支持范围，符合中央、地方事权支出责任划分原则；</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w:t>
      </w:r>
      <w:r>
        <w:rPr>
          <w:rFonts w:hint="eastAsia" w:ascii="Times New Roman" w:hAnsi="Times New Roman" w:eastAsia="方正仿宋_GBK" w:cs="方正仿宋_GBK"/>
          <w:color w:val="auto"/>
          <w:highlight w:val="none"/>
        </w:rPr>
        <w:t>5</w:t>
      </w:r>
      <w:r>
        <w:rPr>
          <w:rFonts w:hint="eastAsia" w:ascii="方正仿宋_GBK" w:hAnsi="方正仿宋_GBK" w:eastAsia="方正仿宋_GBK" w:cs="方正仿宋_GBK"/>
          <w:color w:val="auto"/>
          <w:highlight w:val="none"/>
        </w:rPr>
        <w:t>）本项目与相关部门同类项目或部门内部相关项目</w:t>
      </w:r>
      <w:r>
        <w:rPr>
          <w:rFonts w:hint="eastAsia" w:ascii="方正仿宋_GBK" w:hAnsi="方正仿宋_GBK" w:eastAsia="方正仿宋_GBK" w:cs="方正仿宋_GBK"/>
          <w:color w:val="auto"/>
          <w:highlight w:val="none"/>
          <w:lang w:val="en-US" w:eastAsia="zh-CN"/>
        </w:rPr>
        <w:t>不</w:t>
      </w:r>
      <w:r>
        <w:rPr>
          <w:rFonts w:hint="eastAsia" w:ascii="方正仿宋_GBK" w:hAnsi="方正仿宋_GBK" w:eastAsia="方正仿宋_GBK" w:cs="方正仿宋_GBK"/>
          <w:color w:val="auto"/>
          <w:highlight w:val="none"/>
        </w:rPr>
        <w:t>重复。</w:t>
      </w:r>
    </w:p>
    <w:p>
      <w:pPr>
        <w:bidi w:val="0"/>
        <w:rPr>
          <w:rFonts w:hint="eastAsia" w:ascii="Times New Roman" w:hAnsi="Times New Roman" w:eastAsia="方正仿宋_GBK" w:cs="Times New Roman"/>
          <w:b w:val="0"/>
          <w:color w:val="auto"/>
          <w:kern w:val="2"/>
          <w:sz w:val="32"/>
          <w:szCs w:val="22"/>
          <w:highlight w:val="none"/>
          <w:lang w:val="en-US" w:eastAsia="zh-CN" w:bidi="ar-SA"/>
        </w:rPr>
      </w:pPr>
      <w:r>
        <w:rPr>
          <w:rFonts w:hint="eastAsia" w:ascii="方正仿宋_GBK" w:hAnsi="方正仿宋_GBK" w:eastAsia="方正仿宋_GBK" w:cs="方正仿宋_GBK"/>
          <w:color w:val="auto"/>
          <w:highlight w:val="none"/>
        </w:rPr>
        <w:t>本项</w:t>
      </w:r>
      <w:r>
        <w:rPr>
          <w:rFonts w:hint="eastAsia" w:ascii="Times New Roman" w:hAnsi="Times New Roman" w:eastAsia="方正仿宋_GBK" w:cs="Times New Roman"/>
          <w:b w:val="0"/>
          <w:color w:val="auto"/>
          <w:kern w:val="2"/>
          <w:sz w:val="32"/>
          <w:szCs w:val="22"/>
          <w:highlight w:val="none"/>
          <w:lang w:val="en-US" w:eastAsia="zh-CN" w:bidi="ar-SA"/>
        </w:rPr>
        <w:t>满分3分，评估得分3分。</w:t>
      </w:r>
    </w:p>
    <w:p>
      <w:pPr>
        <w:bidi w:val="0"/>
        <w:rPr>
          <w:rFonts w:hint="eastAsia" w:ascii="方正仿宋_GBK" w:hAnsi="方正仿宋_GBK" w:eastAsia="方正仿宋_GBK" w:cs="方正仿宋_GBK"/>
          <w:color w:val="auto"/>
          <w:highlight w:val="none"/>
        </w:rPr>
      </w:pPr>
      <w:r>
        <w:rPr>
          <w:rFonts w:hint="eastAsia" w:ascii="Times New Roman" w:hAnsi="Times New Roman" w:eastAsia="方正仿宋_GBK" w:cs="方正仿宋_GBK"/>
          <w:color w:val="auto"/>
          <w:highlight w:val="none"/>
        </w:rPr>
        <w:t>2</w:t>
      </w:r>
      <w:r>
        <w:rPr>
          <w:rFonts w:hint="eastAsia" w:ascii="方正仿宋_GBK" w:hAnsi="方正仿宋_GBK" w:eastAsia="方正仿宋_GBK" w:cs="方正仿宋_GBK"/>
          <w:color w:val="auto"/>
          <w:highlight w:val="none"/>
        </w:rPr>
        <w:t>、实施程序规范性</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bCs/>
          <w:color w:val="auto"/>
          <w:szCs w:val="32"/>
          <w:highlight w:val="none"/>
        </w:rPr>
        <w:t>本项目</w:t>
      </w:r>
      <w:r>
        <w:rPr>
          <w:rFonts w:hint="eastAsia" w:ascii="方正仿宋_GBK" w:hAnsi="方正仿宋_GBK" w:eastAsia="方正仿宋_GBK" w:cs="方正仿宋_GBK"/>
          <w:color w:val="auto"/>
          <w:spacing w:val="-4"/>
          <w:szCs w:val="32"/>
          <w:highlight w:val="none"/>
          <w:lang w:val="en-US" w:eastAsia="zh-CN"/>
        </w:rPr>
        <w:t>实施</w:t>
      </w:r>
      <w:r>
        <w:rPr>
          <w:rFonts w:hint="eastAsia" w:ascii="方正仿宋_GBK" w:hAnsi="方正仿宋_GBK" w:eastAsia="方正仿宋_GBK" w:cs="方正仿宋_GBK"/>
          <w:bCs/>
          <w:color w:val="auto"/>
          <w:szCs w:val="32"/>
          <w:highlight w:val="none"/>
        </w:rPr>
        <w:t>资料全，</w:t>
      </w:r>
      <w:r>
        <w:rPr>
          <w:rFonts w:hint="eastAsia" w:ascii="方正仿宋_GBK" w:hAnsi="方正仿宋_GBK" w:eastAsia="方正仿宋_GBK" w:cs="方正仿宋_GBK"/>
          <w:color w:val="auto"/>
          <w:spacing w:val="-4"/>
          <w:szCs w:val="32"/>
          <w:highlight w:val="none"/>
          <w:lang w:val="en-US" w:eastAsia="zh-CN"/>
        </w:rPr>
        <w:t>实施</w:t>
      </w:r>
      <w:r>
        <w:rPr>
          <w:rFonts w:hint="eastAsia" w:ascii="方正仿宋_GBK" w:hAnsi="方正仿宋_GBK" w:eastAsia="方正仿宋_GBK" w:cs="方正仿宋_GBK"/>
          <w:bCs/>
          <w:color w:val="auto"/>
          <w:szCs w:val="32"/>
          <w:highlight w:val="none"/>
        </w:rPr>
        <w:t>程序规范；审批文件、材料符合相关要求，事前已经过必要的集体决策，</w:t>
      </w:r>
      <w:r>
        <w:rPr>
          <w:rFonts w:hint="eastAsia" w:ascii="方正仿宋_GBK" w:hAnsi="方正仿宋_GBK" w:eastAsia="方正仿宋_GBK" w:cs="方正仿宋_GBK"/>
          <w:color w:val="auto"/>
          <w:highlight w:val="none"/>
        </w:rPr>
        <w:t>实施程序规范。</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本项满</w:t>
      </w:r>
      <w:r>
        <w:rPr>
          <w:rFonts w:hint="eastAsia" w:ascii="Times New Roman" w:hAnsi="Times New Roman" w:eastAsia="方正仿宋_GBK" w:cs="Times New Roman"/>
          <w:b w:val="0"/>
          <w:color w:val="auto"/>
          <w:kern w:val="2"/>
          <w:sz w:val="32"/>
          <w:szCs w:val="22"/>
          <w:highlight w:val="none"/>
          <w:lang w:val="en-US" w:eastAsia="zh-CN" w:bidi="ar-SA"/>
        </w:rPr>
        <w:t>分3分，评估得分3分</w:t>
      </w:r>
      <w:r>
        <w:rPr>
          <w:rFonts w:hint="eastAsia" w:ascii="方正仿宋_GBK" w:hAnsi="方正仿宋_GBK" w:eastAsia="方正仿宋_GBK" w:cs="方正仿宋_GBK"/>
          <w:color w:val="auto"/>
          <w:highlight w:val="none"/>
        </w:rPr>
        <w:t>。</w:t>
      </w:r>
    </w:p>
    <w:p>
      <w:pPr>
        <w:bidi w:val="0"/>
        <w:rPr>
          <w:rFonts w:hint="eastAsia" w:ascii="方正仿宋_GBK" w:hAnsi="方正仿宋_GBK" w:eastAsia="方正仿宋_GBK" w:cs="方正仿宋_GBK"/>
          <w:color w:val="auto"/>
          <w:highlight w:val="none"/>
        </w:rPr>
      </w:pPr>
      <w:r>
        <w:rPr>
          <w:rFonts w:hint="eastAsia" w:ascii="Times New Roman" w:hAnsi="Times New Roman" w:eastAsia="方正仿宋_GBK" w:cs="方正仿宋_GBK"/>
          <w:color w:val="auto"/>
          <w:highlight w:val="none"/>
        </w:rPr>
        <w:t>3</w:t>
      </w:r>
      <w:r>
        <w:rPr>
          <w:rFonts w:hint="eastAsia" w:ascii="方正仿宋_GBK" w:hAnsi="方正仿宋_GBK" w:eastAsia="方正仿宋_GBK" w:cs="方正仿宋_GBK"/>
          <w:color w:val="auto"/>
          <w:highlight w:val="none"/>
        </w:rPr>
        <w:t>、绩效目标合理性</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lang w:eastAsia="zh-CN"/>
        </w:rPr>
        <w:t>草原生态保护补助奖励资金</w:t>
      </w:r>
      <w:r>
        <w:rPr>
          <w:rFonts w:hint="eastAsia" w:ascii="方正仿宋_GBK" w:hAnsi="方正仿宋_GBK" w:eastAsia="方正仿宋_GBK" w:cs="方正仿宋_GBK"/>
          <w:color w:val="auto"/>
          <w:highlight w:val="none"/>
        </w:rPr>
        <w:t>设立了项目绩效目标，绩效目标指标设置合理，项目绩效目标与实际工作内容相关性较强；项目预期产出效益和效果符合正常的业绩水平；绩效目标与预算确定的项目投资额相匹配。</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本项满</w:t>
      </w:r>
      <w:r>
        <w:rPr>
          <w:rFonts w:hint="eastAsia" w:ascii="Times New Roman" w:hAnsi="Times New Roman" w:eastAsia="方正仿宋_GBK" w:cs="Times New Roman"/>
          <w:b w:val="0"/>
          <w:color w:val="auto"/>
          <w:kern w:val="2"/>
          <w:sz w:val="32"/>
          <w:szCs w:val="22"/>
          <w:highlight w:val="none"/>
          <w:lang w:val="en-US" w:eastAsia="zh-CN" w:bidi="ar-SA"/>
        </w:rPr>
        <w:t>分4分，评估得分4分</w:t>
      </w:r>
      <w:r>
        <w:rPr>
          <w:rFonts w:hint="eastAsia" w:ascii="方正仿宋_GBK" w:hAnsi="方正仿宋_GBK" w:eastAsia="方正仿宋_GBK" w:cs="方正仿宋_GBK"/>
          <w:color w:val="auto"/>
          <w:highlight w:val="none"/>
        </w:rPr>
        <w:t>。</w:t>
      </w:r>
    </w:p>
    <w:p>
      <w:pPr>
        <w:bidi w:val="0"/>
        <w:rPr>
          <w:rFonts w:hint="eastAsia" w:ascii="方正仿宋_GBK" w:hAnsi="方正仿宋_GBK" w:eastAsia="方正仿宋_GBK" w:cs="方正仿宋_GBK"/>
          <w:color w:val="auto"/>
          <w:highlight w:val="none"/>
        </w:rPr>
      </w:pPr>
      <w:r>
        <w:rPr>
          <w:rFonts w:hint="eastAsia" w:ascii="Times New Roman" w:hAnsi="Times New Roman" w:eastAsia="方正仿宋_GBK" w:cs="方正仿宋_GBK"/>
          <w:color w:val="auto"/>
          <w:highlight w:val="none"/>
        </w:rPr>
        <w:t>4</w:t>
      </w:r>
      <w:r>
        <w:rPr>
          <w:rFonts w:hint="eastAsia" w:ascii="方正仿宋_GBK" w:hAnsi="方正仿宋_GBK" w:eastAsia="方正仿宋_GBK" w:cs="方正仿宋_GBK"/>
          <w:color w:val="auto"/>
          <w:highlight w:val="none"/>
        </w:rPr>
        <w:t>、绩效指标明确性</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lang w:eastAsia="zh-CN"/>
        </w:rPr>
        <w:t>草原生态保护补助奖励资金</w:t>
      </w:r>
      <w:r>
        <w:rPr>
          <w:rFonts w:hint="eastAsia" w:ascii="方正仿宋_GBK" w:hAnsi="方正仿宋_GBK" w:eastAsia="方正仿宋_GBK" w:cs="方正仿宋_GBK"/>
          <w:color w:val="auto"/>
          <w:highlight w:val="none"/>
        </w:rPr>
        <w:t>，设置一级指标</w:t>
      </w:r>
      <w:r>
        <w:rPr>
          <w:rFonts w:hint="eastAsia" w:ascii="方正仿宋_GBK" w:hAnsi="方正仿宋_GBK" w:eastAsia="方正仿宋_GBK" w:cs="方正仿宋_GBK"/>
          <w:color w:val="auto"/>
          <w:highlight w:val="none"/>
          <w:lang w:val="en-US" w:eastAsia="zh-CN"/>
        </w:rPr>
        <w:t>四</w:t>
      </w:r>
      <w:r>
        <w:rPr>
          <w:rFonts w:hint="eastAsia" w:ascii="方正仿宋_GBK" w:hAnsi="方正仿宋_GBK" w:eastAsia="方正仿宋_GBK" w:cs="方正仿宋_GBK"/>
          <w:color w:val="auto"/>
          <w:highlight w:val="none"/>
        </w:rPr>
        <w:t>条，二级指标六条，三级指标</w:t>
      </w:r>
      <w:r>
        <w:rPr>
          <w:rFonts w:hint="eastAsia" w:ascii="方正仿宋_GBK" w:hAnsi="方正仿宋_GBK" w:eastAsia="方正仿宋_GBK" w:cs="方正仿宋_GBK"/>
          <w:color w:val="auto"/>
          <w:highlight w:val="none"/>
          <w:lang w:val="en-US" w:eastAsia="zh-CN"/>
        </w:rPr>
        <w:t>十</w:t>
      </w:r>
      <w:r>
        <w:rPr>
          <w:rFonts w:hint="eastAsia" w:ascii="方正仿宋_GBK" w:hAnsi="方正仿宋_GBK" w:eastAsia="方正仿宋_GBK" w:cs="方正仿宋_GBK"/>
          <w:color w:val="auto"/>
          <w:highlight w:val="none"/>
        </w:rPr>
        <w:t>条，其中量化指标</w:t>
      </w:r>
      <w:r>
        <w:rPr>
          <w:rFonts w:hint="eastAsia" w:ascii="方正仿宋_GBK" w:hAnsi="方正仿宋_GBK" w:eastAsia="方正仿宋_GBK" w:cs="方正仿宋_GBK"/>
          <w:color w:val="auto"/>
          <w:highlight w:val="none"/>
          <w:lang w:val="en-US" w:eastAsia="zh-CN"/>
        </w:rPr>
        <w:t>八</w:t>
      </w:r>
      <w:r>
        <w:rPr>
          <w:rFonts w:hint="eastAsia" w:ascii="方正仿宋_GBK" w:hAnsi="方正仿宋_GBK" w:eastAsia="方正仿宋_GBK" w:cs="方正仿宋_GBK"/>
          <w:color w:val="auto"/>
          <w:highlight w:val="none"/>
        </w:rPr>
        <w:t>条，绩效目标指标设定清晰、可衡量性较强，与项目目标任务计划数对应性较强。</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本项</w:t>
      </w:r>
      <w:r>
        <w:rPr>
          <w:rFonts w:hint="eastAsia" w:ascii="Times New Roman" w:hAnsi="Times New Roman" w:eastAsia="方正仿宋_GBK" w:cs="Times New Roman"/>
          <w:b w:val="0"/>
          <w:color w:val="auto"/>
          <w:kern w:val="2"/>
          <w:sz w:val="32"/>
          <w:szCs w:val="22"/>
          <w:highlight w:val="none"/>
          <w:lang w:val="en-US" w:eastAsia="zh-CN" w:bidi="ar-SA"/>
        </w:rPr>
        <w:t>满分4分，评估得分4分</w:t>
      </w:r>
      <w:r>
        <w:rPr>
          <w:rFonts w:hint="eastAsia" w:ascii="方正仿宋_GBK" w:hAnsi="方正仿宋_GBK" w:eastAsia="方正仿宋_GBK" w:cs="方正仿宋_GBK"/>
          <w:color w:val="auto"/>
          <w:highlight w:val="none"/>
        </w:rPr>
        <w:t>。</w:t>
      </w:r>
    </w:p>
    <w:p>
      <w:pPr>
        <w:bidi w:val="0"/>
        <w:rPr>
          <w:rFonts w:hint="eastAsia" w:ascii="方正仿宋_GBK" w:hAnsi="方正仿宋_GBK" w:eastAsia="方正仿宋_GBK" w:cs="方正仿宋_GBK"/>
          <w:color w:val="auto"/>
          <w:highlight w:val="none"/>
        </w:rPr>
      </w:pPr>
      <w:r>
        <w:rPr>
          <w:rFonts w:hint="eastAsia" w:ascii="Times New Roman" w:hAnsi="Times New Roman" w:eastAsia="方正仿宋_GBK" w:cs="方正仿宋_GBK"/>
          <w:color w:val="auto"/>
          <w:highlight w:val="none"/>
        </w:rPr>
        <w:t>5</w:t>
      </w:r>
      <w:r>
        <w:rPr>
          <w:rFonts w:hint="eastAsia" w:ascii="方正仿宋_GBK" w:hAnsi="方正仿宋_GBK" w:eastAsia="方正仿宋_GBK" w:cs="方正仿宋_GBK"/>
          <w:color w:val="auto"/>
          <w:highlight w:val="none"/>
        </w:rPr>
        <w:t>、预算编制科学性</w:t>
      </w:r>
    </w:p>
    <w:p>
      <w:pPr>
        <w:bidi w:val="0"/>
        <w:rPr>
          <w:rFonts w:hint="eastAsia" w:ascii="Times New Roman" w:hAnsi="Times New Roman" w:eastAsia="方正仿宋_GBK" w:cs="Times New Roman"/>
          <w:b w:val="0"/>
          <w:color w:val="auto"/>
          <w:kern w:val="2"/>
          <w:sz w:val="32"/>
          <w:szCs w:val="22"/>
          <w:highlight w:val="none"/>
          <w:lang w:val="en-US" w:eastAsia="zh-CN" w:bidi="ar-SA"/>
        </w:rPr>
      </w:pPr>
      <w:r>
        <w:rPr>
          <w:rFonts w:hint="eastAsia" w:ascii="方正仿宋_GBK" w:hAnsi="方正仿宋_GBK" w:eastAsia="方正仿宋_GBK" w:cs="方正仿宋_GBK"/>
          <w:color w:val="auto"/>
          <w:highlight w:val="none"/>
        </w:rPr>
        <w:t>本项目预算资金</w:t>
      </w:r>
      <w:r>
        <w:rPr>
          <w:rFonts w:hint="eastAsia" w:ascii="Times New Roman" w:hAnsi="Times New Roman" w:eastAsia="方正仿宋_GBK" w:cs="Times New Roman"/>
          <w:b w:val="0"/>
          <w:color w:val="auto"/>
          <w:kern w:val="2"/>
          <w:sz w:val="32"/>
          <w:szCs w:val="22"/>
          <w:highlight w:val="none"/>
          <w:lang w:val="en-US" w:eastAsia="zh-CN" w:bidi="ar-SA"/>
        </w:rPr>
        <w:t>3254.025</w:t>
      </w:r>
      <w:r>
        <w:rPr>
          <w:rFonts w:hint="eastAsia" w:ascii="方正仿宋_GBK" w:hAnsi="方正仿宋_GBK" w:eastAsia="方正仿宋_GBK" w:cs="方正仿宋_GBK"/>
          <w:color w:val="auto"/>
          <w:highlight w:val="none"/>
        </w:rPr>
        <w:t>万元，来源为</w:t>
      </w:r>
      <w:r>
        <w:rPr>
          <w:rFonts w:hint="eastAsia" w:ascii="方正仿宋_GBK" w:hAnsi="方正仿宋_GBK" w:eastAsia="方正仿宋_GBK" w:cs="方正仿宋_GBK"/>
          <w:color w:val="auto"/>
          <w:highlight w:val="none"/>
          <w:lang w:eastAsia="zh-CN"/>
        </w:rPr>
        <w:t>中央专项</w:t>
      </w:r>
      <w:r>
        <w:rPr>
          <w:rFonts w:hint="eastAsia" w:ascii="方正仿宋_GBK" w:hAnsi="方正仿宋_GBK" w:eastAsia="方正仿宋_GBK" w:cs="方正仿宋_GBK"/>
          <w:color w:val="auto"/>
          <w:highlight w:val="none"/>
        </w:rPr>
        <w:t>资金，</w:t>
      </w:r>
      <w:r>
        <w:rPr>
          <w:rFonts w:hint="eastAsia" w:ascii="方正仿宋_GBK" w:hAnsi="方正仿宋_GBK" w:eastAsia="方正仿宋_GBK" w:cs="方正仿宋_GBK"/>
          <w:color w:val="auto"/>
          <w:highlight w:val="none"/>
          <w:lang w:eastAsia="zh-CN"/>
        </w:rPr>
        <w:t>中央专项资</w:t>
      </w:r>
      <w:r>
        <w:rPr>
          <w:rFonts w:hint="eastAsia" w:ascii="Times New Roman" w:hAnsi="Times New Roman" w:eastAsia="方正仿宋_GBK" w:cs="Times New Roman"/>
          <w:b w:val="0"/>
          <w:color w:val="auto"/>
          <w:kern w:val="2"/>
          <w:sz w:val="32"/>
          <w:szCs w:val="22"/>
          <w:highlight w:val="none"/>
          <w:lang w:val="en-US" w:eastAsia="zh-CN" w:bidi="ar-SA"/>
        </w:rPr>
        <w:t>金3254.025万元，预算编制较为科学，预算内容与尉犁县草场补贴发放情况内容相匹配，预算额度测算依据充分，预算确定的资金量与工作量相匹配。</w:t>
      </w:r>
    </w:p>
    <w:p>
      <w:pPr>
        <w:bidi w:val="0"/>
        <w:rPr>
          <w:rFonts w:hint="eastAsia" w:ascii="Times New Roman" w:hAnsi="Times New Roman" w:eastAsia="方正仿宋_GBK" w:cs="Times New Roman"/>
          <w:b w:val="0"/>
          <w:color w:val="auto"/>
          <w:kern w:val="2"/>
          <w:sz w:val="32"/>
          <w:szCs w:val="22"/>
          <w:highlight w:val="none"/>
          <w:lang w:val="en-US" w:eastAsia="zh-CN" w:bidi="ar-SA"/>
        </w:rPr>
      </w:pPr>
      <w:r>
        <w:rPr>
          <w:rFonts w:hint="eastAsia" w:ascii="Times New Roman" w:hAnsi="Times New Roman" w:eastAsia="方正仿宋_GBK" w:cs="Times New Roman"/>
          <w:b w:val="0"/>
          <w:color w:val="auto"/>
          <w:kern w:val="2"/>
          <w:sz w:val="32"/>
          <w:szCs w:val="22"/>
          <w:highlight w:val="none"/>
          <w:lang w:val="en-US" w:eastAsia="zh-CN" w:bidi="ar-SA"/>
        </w:rPr>
        <w:t>本项满分4分，评估得分4分。</w:t>
      </w:r>
    </w:p>
    <w:p>
      <w:pPr>
        <w:bidi w:val="0"/>
        <w:rPr>
          <w:rFonts w:hint="eastAsia" w:ascii="方正仿宋_GBK" w:hAnsi="方正仿宋_GBK" w:eastAsia="方正仿宋_GBK" w:cs="方正仿宋_GBK"/>
          <w:color w:val="auto"/>
          <w:highlight w:val="none"/>
        </w:rPr>
      </w:pPr>
      <w:r>
        <w:rPr>
          <w:rFonts w:hint="eastAsia" w:ascii="Times New Roman" w:hAnsi="Times New Roman" w:eastAsia="方正仿宋_GBK" w:cs="方正仿宋_GBK"/>
          <w:color w:val="auto"/>
          <w:highlight w:val="none"/>
        </w:rPr>
        <w:t>6</w:t>
      </w:r>
      <w:r>
        <w:rPr>
          <w:rFonts w:hint="eastAsia" w:ascii="方正仿宋_GBK" w:hAnsi="方正仿宋_GBK" w:eastAsia="方正仿宋_GBK" w:cs="方正仿宋_GBK"/>
          <w:color w:val="auto"/>
          <w:highlight w:val="none"/>
        </w:rPr>
        <w:t>、资金分配合理性</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本项目预算资金分配依据充分；资金分配额度合理，与项目单位实际相适应。</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本项满</w:t>
      </w:r>
      <w:r>
        <w:rPr>
          <w:rFonts w:hint="eastAsia" w:ascii="Times New Roman" w:hAnsi="Times New Roman" w:eastAsia="方正仿宋_GBK" w:cs="Times New Roman"/>
          <w:b w:val="0"/>
          <w:color w:val="auto"/>
          <w:kern w:val="2"/>
          <w:sz w:val="32"/>
          <w:szCs w:val="22"/>
          <w:highlight w:val="none"/>
          <w:lang w:val="en-US" w:eastAsia="zh-CN" w:bidi="ar-SA"/>
        </w:rPr>
        <w:t>分4分，评估得分4分</w:t>
      </w:r>
      <w:r>
        <w:rPr>
          <w:rFonts w:hint="eastAsia" w:ascii="方正仿宋_GBK" w:hAnsi="方正仿宋_GBK" w:eastAsia="方正仿宋_GBK" w:cs="方正仿宋_GBK"/>
          <w:color w:val="auto"/>
          <w:highlight w:val="none"/>
        </w:rPr>
        <w:t>。</w:t>
      </w:r>
    </w:p>
    <w:p>
      <w:pPr>
        <w:pStyle w:val="2"/>
        <w:bidi w:val="0"/>
        <w:rPr>
          <w:rFonts w:hint="eastAsia" w:ascii="方正仿宋_GBK" w:hAnsi="方正仿宋_GBK" w:eastAsia="方正仿宋_GBK" w:cs="方正仿宋_GBK"/>
          <w:color w:val="auto"/>
          <w:highlight w:val="none"/>
        </w:rPr>
      </w:pPr>
      <w:bookmarkStart w:id="19" w:name="_Toc11290"/>
      <w:r>
        <w:rPr>
          <w:rFonts w:hint="eastAsia" w:ascii="方正仿宋_GBK" w:hAnsi="方正仿宋_GBK" w:eastAsia="方正仿宋_GBK" w:cs="方正仿宋_GBK"/>
          <w:color w:val="auto"/>
          <w:highlight w:val="none"/>
        </w:rPr>
        <w:t>（二）项目过程情况</w:t>
      </w:r>
      <w:bookmarkEnd w:id="19"/>
    </w:p>
    <w:p>
      <w:pPr>
        <w:bidi w:val="0"/>
        <w:rPr>
          <w:rFonts w:hint="eastAsia" w:ascii="方正仿宋_GBK" w:hAnsi="方正仿宋_GBK" w:eastAsia="方正仿宋_GBK" w:cs="方正仿宋_GBK"/>
          <w:color w:val="auto"/>
          <w:highlight w:val="none"/>
        </w:rPr>
      </w:pPr>
      <w:r>
        <w:rPr>
          <w:rFonts w:hint="eastAsia" w:ascii="Times New Roman" w:hAnsi="Times New Roman" w:eastAsia="方正仿宋_GBK" w:cs="方正仿宋_GBK"/>
          <w:color w:val="auto"/>
          <w:highlight w:val="none"/>
        </w:rPr>
        <w:t>1</w:t>
      </w:r>
      <w:r>
        <w:rPr>
          <w:rFonts w:hint="eastAsia" w:ascii="方正仿宋_GBK" w:hAnsi="方正仿宋_GBK" w:eastAsia="方正仿宋_GBK" w:cs="方正仿宋_GBK"/>
          <w:color w:val="auto"/>
          <w:highlight w:val="none"/>
        </w:rPr>
        <w:t>、资金到位率</w:t>
      </w:r>
    </w:p>
    <w:p>
      <w:pPr>
        <w:bidi w:val="0"/>
        <w:rPr>
          <w:rFonts w:hint="eastAsia" w:ascii="Times New Roman" w:hAnsi="Times New Roman" w:eastAsia="方正仿宋_GBK" w:cs="Times New Roman"/>
          <w:b w:val="0"/>
          <w:color w:val="auto"/>
          <w:kern w:val="2"/>
          <w:sz w:val="32"/>
          <w:szCs w:val="22"/>
          <w:highlight w:val="none"/>
          <w:lang w:val="en-US" w:eastAsia="zh-CN" w:bidi="ar-SA"/>
        </w:rPr>
      </w:pPr>
      <w:r>
        <w:rPr>
          <w:rFonts w:hint="eastAsia" w:ascii="Times New Roman" w:hAnsi="Times New Roman" w:eastAsia="方正仿宋_GBK" w:cs="Times New Roman"/>
          <w:b w:val="0"/>
          <w:color w:val="auto"/>
          <w:kern w:val="2"/>
          <w:sz w:val="32"/>
          <w:szCs w:val="22"/>
          <w:highlight w:val="none"/>
          <w:lang w:val="en-US" w:eastAsia="zh-CN" w:bidi="ar-SA"/>
        </w:rPr>
        <w:t>本项目预算资金3254.025万元，实际到位资金3254.025万元，资金到位率100%。</w:t>
      </w:r>
    </w:p>
    <w:p>
      <w:pPr>
        <w:bidi w:val="0"/>
        <w:rPr>
          <w:rFonts w:hint="eastAsia" w:ascii="Times New Roman" w:hAnsi="Times New Roman" w:eastAsia="方正仿宋_GBK" w:cs="Times New Roman"/>
          <w:b w:val="0"/>
          <w:color w:val="auto"/>
          <w:kern w:val="2"/>
          <w:sz w:val="32"/>
          <w:szCs w:val="22"/>
          <w:highlight w:val="none"/>
          <w:lang w:val="en-US" w:eastAsia="zh-CN" w:bidi="ar-SA"/>
        </w:rPr>
      </w:pPr>
      <w:r>
        <w:rPr>
          <w:rFonts w:hint="eastAsia" w:ascii="Times New Roman" w:hAnsi="Times New Roman" w:eastAsia="方正仿宋_GBK" w:cs="Times New Roman"/>
          <w:b w:val="0"/>
          <w:color w:val="auto"/>
          <w:kern w:val="2"/>
          <w:sz w:val="32"/>
          <w:szCs w:val="22"/>
          <w:highlight w:val="none"/>
          <w:lang w:val="en-US" w:eastAsia="zh-CN" w:bidi="ar-SA"/>
        </w:rPr>
        <w:t>本项满分4分，评估得分4分。</w:t>
      </w:r>
    </w:p>
    <w:p>
      <w:pPr>
        <w:bidi w:val="0"/>
        <w:rPr>
          <w:rFonts w:hint="eastAsia" w:ascii="方正仿宋_GBK" w:hAnsi="方正仿宋_GBK" w:eastAsia="方正仿宋_GBK" w:cs="方正仿宋_GBK"/>
          <w:color w:val="auto"/>
          <w:highlight w:val="none"/>
        </w:rPr>
      </w:pPr>
      <w:r>
        <w:rPr>
          <w:rFonts w:hint="eastAsia" w:ascii="Times New Roman" w:hAnsi="Times New Roman" w:eastAsia="方正仿宋_GBK" w:cs="方正仿宋_GBK"/>
          <w:color w:val="auto"/>
          <w:highlight w:val="none"/>
        </w:rPr>
        <w:t>2</w:t>
      </w:r>
      <w:r>
        <w:rPr>
          <w:rFonts w:hint="eastAsia" w:ascii="方正仿宋_GBK" w:hAnsi="方正仿宋_GBK" w:eastAsia="方正仿宋_GBK" w:cs="方正仿宋_GBK"/>
          <w:color w:val="auto"/>
          <w:highlight w:val="none"/>
        </w:rPr>
        <w:t>、预算执行率</w:t>
      </w:r>
    </w:p>
    <w:p>
      <w:pPr>
        <w:bidi w:val="0"/>
        <w:rPr>
          <w:rFonts w:hint="eastAsia" w:ascii="Times New Roman" w:hAnsi="Times New Roman" w:eastAsia="方正仿宋_GBK" w:cs="Times New Roman"/>
          <w:b w:val="0"/>
          <w:color w:val="auto"/>
          <w:kern w:val="2"/>
          <w:sz w:val="32"/>
          <w:szCs w:val="22"/>
          <w:highlight w:val="none"/>
          <w:lang w:val="en-US" w:eastAsia="zh-CN" w:bidi="ar-SA"/>
        </w:rPr>
      </w:pPr>
      <w:r>
        <w:rPr>
          <w:rFonts w:hint="eastAsia" w:ascii="Times New Roman" w:hAnsi="Times New Roman" w:eastAsia="方正仿宋_GBK" w:cs="Times New Roman"/>
          <w:b w:val="0"/>
          <w:color w:val="auto"/>
          <w:kern w:val="2"/>
          <w:sz w:val="32"/>
          <w:szCs w:val="22"/>
          <w:highlight w:val="none"/>
          <w:lang w:val="en-US" w:eastAsia="zh-CN" w:bidi="ar-SA"/>
        </w:rPr>
        <w:t>本项目到位资金3254.025万元，实际支付资金3254.025万元，预算执行率为100%。</w:t>
      </w:r>
    </w:p>
    <w:p>
      <w:pPr>
        <w:bidi w:val="0"/>
        <w:rPr>
          <w:rFonts w:hint="eastAsia" w:ascii="Times New Roman" w:hAnsi="Times New Roman" w:eastAsia="方正仿宋_GBK" w:cs="Times New Roman"/>
          <w:b w:val="0"/>
          <w:color w:val="auto"/>
          <w:kern w:val="2"/>
          <w:sz w:val="32"/>
          <w:szCs w:val="22"/>
          <w:highlight w:val="none"/>
          <w:lang w:val="en-US" w:eastAsia="zh-CN" w:bidi="ar-SA"/>
        </w:rPr>
      </w:pPr>
      <w:r>
        <w:rPr>
          <w:rFonts w:hint="eastAsia" w:ascii="Times New Roman" w:hAnsi="Times New Roman" w:eastAsia="方正仿宋_GBK" w:cs="Times New Roman"/>
          <w:b w:val="0"/>
          <w:color w:val="auto"/>
          <w:kern w:val="2"/>
          <w:sz w:val="32"/>
          <w:szCs w:val="22"/>
          <w:highlight w:val="none"/>
          <w:lang w:val="en-US" w:eastAsia="zh-CN" w:bidi="ar-SA"/>
        </w:rPr>
        <w:t>本项满分4分，评估得分4分。</w:t>
      </w:r>
    </w:p>
    <w:p>
      <w:pPr>
        <w:bidi w:val="0"/>
        <w:rPr>
          <w:rFonts w:hint="eastAsia" w:ascii="方正仿宋_GBK" w:hAnsi="方正仿宋_GBK" w:eastAsia="方正仿宋_GBK" w:cs="方正仿宋_GBK"/>
          <w:color w:val="auto"/>
          <w:highlight w:val="none"/>
        </w:rPr>
      </w:pPr>
      <w:r>
        <w:rPr>
          <w:rFonts w:hint="eastAsia" w:ascii="Times New Roman" w:hAnsi="Times New Roman" w:eastAsia="方正仿宋_GBK" w:cs="方正仿宋_GBK"/>
          <w:color w:val="auto"/>
          <w:highlight w:val="none"/>
        </w:rPr>
        <w:t>3</w:t>
      </w:r>
      <w:r>
        <w:rPr>
          <w:rFonts w:hint="eastAsia" w:ascii="方正仿宋_GBK" w:hAnsi="方正仿宋_GBK" w:eastAsia="方正仿宋_GBK" w:cs="方正仿宋_GBK"/>
          <w:color w:val="auto"/>
          <w:highlight w:val="none"/>
        </w:rPr>
        <w:t>、资金使用合规性</w:t>
      </w:r>
    </w:p>
    <w:p>
      <w:pPr>
        <w:bidi w:val="0"/>
        <w:rPr>
          <w:rFonts w:hint="eastAsia" w:ascii="Times New Roman" w:hAnsi="Times New Roman" w:eastAsia="方正仿宋_GBK" w:cs="Times New Roman"/>
          <w:b w:val="0"/>
          <w:color w:val="auto"/>
          <w:kern w:val="2"/>
          <w:sz w:val="32"/>
          <w:szCs w:val="22"/>
          <w:highlight w:val="none"/>
          <w:lang w:val="en-US" w:eastAsia="zh-CN" w:bidi="ar-SA"/>
        </w:rPr>
      </w:pPr>
      <w:r>
        <w:rPr>
          <w:rFonts w:hint="eastAsia" w:ascii="Times New Roman" w:hAnsi="Times New Roman" w:eastAsia="方正仿宋_GBK" w:cs="Times New Roman"/>
          <w:b w:val="0"/>
          <w:color w:val="auto"/>
          <w:kern w:val="2"/>
          <w:sz w:val="32"/>
          <w:szCs w:val="22"/>
          <w:highlight w:val="none"/>
          <w:lang w:val="en-US" w:eastAsia="zh-CN" w:bidi="ar-SA"/>
        </w:rPr>
        <w:t>本项目资金的使用符合《中华人民共和国预算法》、《中华人民共和国会计法》等国家有关财经法规以及预算管理制度；《关于印发〈新疆维吾尔自治区草原生态保护补助奖励资金管理暂行</w:t>
      </w:r>
      <w:r>
        <w:rPr>
          <w:rFonts w:hint="eastAsia" w:eastAsia="方正仿宋_GBK" w:cs="Times New Roman"/>
          <w:b w:val="0"/>
          <w:color w:val="auto"/>
          <w:kern w:val="2"/>
          <w:sz w:val="32"/>
          <w:szCs w:val="22"/>
          <w:highlight w:val="none"/>
          <w:lang w:val="en-US" w:eastAsia="zh-CN" w:bidi="ar-SA"/>
        </w:rPr>
        <w:t>办法</w:t>
      </w:r>
      <w:r>
        <w:rPr>
          <w:rFonts w:hint="eastAsia" w:ascii="Times New Roman" w:hAnsi="Times New Roman" w:eastAsia="方正仿宋_GBK" w:cs="Times New Roman"/>
          <w:b w:val="0"/>
          <w:color w:val="auto"/>
          <w:kern w:val="2"/>
          <w:sz w:val="32"/>
          <w:szCs w:val="22"/>
          <w:highlight w:val="none"/>
          <w:lang w:val="en-US" w:eastAsia="zh-CN" w:bidi="ar-SA"/>
        </w:rPr>
        <w:t>〉的通知》（新财农〔2012〕43号）要求。资金的审批和拨付按照《尉犁县财政资金审批管理办法》执行，有完整的审批程序和手续；资金使用符合专项资金支持的范围。不存在截留、挤占、挪用、虚列支出等情况。</w:t>
      </w:r>
    </w:p>
    <w:p>
      <w:pPr>
        <w:bidi w:val="0"/>
        <w:rPr>
          <w:rFonts w:hint="eastAsia" w:ascii="Times New Roman" w:hAnsi="Times New Roman" w:eastAsia="方正仿宋_GBK" w:cs="Times New Roman"/>
          <w:b w:val="0"/>
          <w:color w:val="auto"/>
          <w:kern w:val="2"/>
          <w:sz w:val="32"/>
          <w:szCs w:val="22"/>
          <w:highlight w:val="none"/>
          <w:lang w:val="en-US" w:eastAsia="zh-CN" w:bidi="ar-SA"/>
        </w:rPr>
      </w:pPr>
      <w:r>
        <w:rPr>
          <w:rFonts w:hint="eastAsia" w:ascii="Times New Roman" w:hAnsi="Times New Roman" w:eastAsia="方正仿宋_GBK" w:cs="Times New Roman"/>
          <w:b w:val="0"/>
          <w:color w:val="auto"/>
          <w:kern w:val="2"/>
          <w:sz w:val="32"/>
          <w:szCs w:val="22"/>
          <w:highlight w:val="none"/>
          <w:lang w:val="en-US" w:eastAsia="zh-CN" w:bidi="ar-SA"/>
        </w:rPr>
        <w:t>本项满分4分，评估得分4分。</w:t>
      </w:r>
    </w:p>
    <w:p>
      <w:pPr>
        <w:bidi w:val="0"/>
        <w:rPr>
          <w:rFonts w:hint="eastAsia" w:ascii="方正仿宋_GBK" w:hAnsi="方正仿宋_GBK" w:eastAsia="方正仿宋_GBK" w:cs="方正仿宋_GBK"/>
          <w:color w:val="auto"/>
          <w:highlight w:val="none"/>
        </w:rPr>
      </w:pPr>
      <w:r>
        <w:rPr>
          <w:rFonts w:hint="eastAsia" w:ascii="Times New Roman" w:hAnsi="Times New Roman" w:eastAsia="方正仿宋_GBK" w:cs="方正仿宋_GBK"/>
          <w:color w:val="auto"/>
          <w:highlight w:val="none"/>
        </w:rPr>
        <w:t>4</w:t>
      </w:r>
      <w:r>
        <w:rPr>
          <w:rFonts w:hint="eastAsia" w:ascii="方正仿宋_GBK" w:hAnsi="方正仿宋_GBK" w:eastAsia="方正仿宋_GBK" w:cs="方正仿宋_GBK"/>
          <w:color w:val="auto"/>
          <w:highlight w:val="none"/>
        </w:rPr>
        <w:t>、管理制度健全性</w:t>
      </w:r>
    </w:p>
    <w:p>
      <w:pPr>
        <w:spacing w:line="360" w:lineRule="auto"/>
        <w:ind w:firstLine="640"/>
        <w:rPr>
          <w:rFonts w:hint="eastAsia" w:ascii="方正仿宋_GBK" w:hAnsi="方正仿宋_GBK" w:eastAsia="方正仿宋_GBK" w:cs="方正仿宋_GBK"/>
          <w:color w:val="auto"/>
          <w:highlight w:val="none"/>
          <w:lang w:val="en-US" w:eastAsia="zh-CN"/>
        </w:rPr>
      </w:pPr>
      <w:r>
        <w:rPr>
          <w:rFonts w:hint="eastAsia" w:ascii="方正仿宋_GBK" w:hAnsi="方正仿宋_GBK" w:eastAsia="方正仿宋_GBK" w:cs="方正仿宋_GBK"/>
          <w:snapToGrid w:val="0"/>
          <w:color w:val="auto"/>
          <w:sz w:val="32"/>
          <w:szCs w:val="24"/>
          <w:highlight w:val="none"/>
        </w:rPr>
        <w:t>我县成立草原生态保护补助奖励机制领导小组，充分发挥好领导小组的协调作用。</w:t>
      </w:r>
      <w:r>
        <w:rPr>
          <w:rFonts w:hint="eastAsia" w:ascii="方正仿宋_GBK" w:hAnsi="方正仿宋_GBK" w:eastAsia="方正仿宋_GBK" w:cs="方正仿宋_GBK"/>
          <w:color w:val="auto"/>
          <w:highlight w:val="none"/>
          <w:lang w:val="en-US" w:eastAsia="zh-CN"/>
        </w:rPr>
        <w:t>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本项满分</w:t>
      </w:r>
      <w:r>
        <w:rPr>
          <w:rFonts w:hint="eastAsia" w:ascii="Times New Roman" w:hAnsi="Times New Roman" w:eastAsia="方正仿宋_GBK" w:cs="方正仿宋_GBK"/>
          <w:color w:val="auto"/>
          <w:highlight w:val="none"/>
        </w:rPr>
        <w:t>3</w:t>
      </w:r>
      <w:r>
        <w:rPr>
          <w:rFonts w:hint="eastAsia" w:ascii="方正仿宋_GBK" w:hAnsi="方正仿宋_GBK" w:eastAsia="方正仿宋_GBK" w:cs="方正仿宋_GBK"/>
          <w:color w:val="auto"/>
          <w:highlight w:val="none"/>
        </w:rPr>
        <w:t>分，评估得分</w:t>
      </w:r>
      <w:r>
        <w:rPr>
          <w:rFonts w:hint="eastAsia" w:ascii="Times New Roman" w:hAnsi="Times New Roman" w:eastAsia="方正仿宋_GBK" w:cs="方正仿宋_GBK"/>
          <w:color w:val="auto"/>
          <w:highlight w:val="none"/>
        </w:rPr>
        <w:t>3</w:t>
      </w:r>
      <w:r>
        <w:rPr>
          <w:rFonts w:hint="eastAsia" w:ascii="方正仿宋_GBK" w:hAnsi="方正仿宋_GBK" w:eastAsia="方正仿宋_GBK" w:cs="方正仿宋_GBK"/>
          <w:color w:val="auto"/>
          <w:highlight w:val="none"/>
        </w:rPr>
        <w:t>分。</w:t>
      </w:r>
    </w:p>
    <w:p>
      <w:pPr>
        <w:bidi w:val="0"/>
        <w:rPr>
          <w:rFonts w:hint="eastAsia" w:ascii="方正仿宋_GBK" w:hAnsi="方正仿宋_GBK" w:eastAsia="方正仿宋_GBK" w:cs="方正仿宋_GBK"/>
          <w:color w:val="auto"/>
          <w:highlight w:val="none"/>
        </w:rPr>
      </w:pPr>
      <w:r>
        <w:rPr>
          <w:rFonts w:hint="eastAsia" w:ascii="Times New Roman" w:hAnsi="Times New Roman" w:eastAsia="方正仿宋_GBK" w:cs="方正仿宋_GBK"/>
          <w:color w:val="auto"/>
          <w:highlight w:val="none"/>
        </w:rPr>
        <w:t>5</w:t>
      </w:r>
      <w:r>
        <w:rPr>
          <w:rFonts w:hint="eastAsia" w:ascii="方正仿宋_GBK" w:hAnsi="方正仿宋_GBK" w:eastAsia="方正仿宋_GBK" w:cs="方正仿宋_GBK"/>
          <w:color w:val="auto"/>
          <w:highlight w:val="none"/>
        </w:rPr>
        <w:t>、制度执行有效性</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本项目在实施过程中严格遵守相关法律法规和相关管理规定，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pPr>
        <w:bidi w:val="0"/>
        <w:rPr>
          <w:rFonts w:hint="eastAsia" w:ascii="方正仿宋_GBK" w:hAnsi="方正仿宋_GBK" w:eastAsia="方正仿宋_GBK" w:cs="方正仿宋_GBK"/>
          <w:color w:val="auto"/>
          <w:highlight w:val="none"/>
          <w:lang w:val="en-US" w:eastAsia="zh-CN"/>
        </w:rPr>
      </w:pPr>
      <w:r>
        <w:rPr>
          <w:rFonts w:hint="eastAsia" w:ascii="方正仿宋_GBK" w:hAnsi="方正仿宋_GBK" w:eastAsia="方正仿宋_GBK" w:cs="方正仿宋_GBK"/>
          <w:color w:val="auto"/>
          <w:highlight w:val="none"/>
        </w:rPr>
        <w:t>本项满分</w:t>
      </w:r>
      <w:r>
        <w:rPr>
          <w:rFonts w:hint="eastAsia" w:ascii="Times New Roman" w:hAnsi="Times New Roman" w:eastAsia="方正仿宋_GBK" w:cs="方正仿宋_GBK"/>
          <w:color w:val="auto"/>
          <w:highlight w:val="none"/>
        </w:rPr>
        <w:t>3</w:t>
      </w:r>
      <w:r>
        <w:rPr>
          <w:rFonts w:hint="eastAsia" w:ascii="方正仿宋_GBK" w:hAnsi="方正仿宋_GBK" w:eastAsia="方正仿宋_GBK" w:cs="方正仿宋_GBK"/>
          <w:color w:val="auto"/>
          <w:highlight w:val="none"/>
        </w:rPr>
        <w:t>分，评估得分</w:t>
      </w:r>
      <w:r>
        <w:rPr>
          <w:rFonts w:hint="eastAsia" w:ascii="Times New Roman" w:hAnsi="Times New Roman" w:eastAsia="方正仿宋_GBK" w:cs="方正仿宋_GBK"/>
          <w:color w:val="auto"/>
          <w:highlight w:val="none"/>
        </w:rPr>
        <w:t>3</w:t>
      </w:r>
      <w:r>
        <w:rPr>
          <w:rFonts w:hint="eastAsia" w:ascii="方正仿宋_GBK" w:hAnsi="方正仿宋_GBK" w:eastAsia="方正仿宋_GBK" w:cs="方正仿宋_GBK"/>
          <w:color w:val="auto"/>
          <w:highlight w:val="none"/>
        </w:rPr>
        <w:t>分。</w:t>
      </w:r>
      <w:bookmarkStart w:id="20" w:name="_Toc32013"/>
    </w:p>
    <w:p>
      <w:pPr>
        <w:pStyle w:val="2"/>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（三）项目产出情况</w:t>
      </w:r>
      <w:bookmarkEnd w:id="20"/>
    </w:p>
    <w:p>
      <w:pPr>
        <w:bidi w:val="0"/>
        <w:rPr>
          <w:rFonts w:hint="eastAsia" w:ascii="方正仿宋_GBK" w:hAnsi="方正仿宋_GBK" w:eastAsia="方正仿宋_GBK" w:cs="方正仿宋_GBK"/>
          <w:color w:val="auto"/>
          <w:highlight w:val="none"/>
        </w:rPr>
      </w:pPr>
      <w:r>
        <w:rPr>
          <w:rFonts w:hint="eastAsia" w:ascii="Times New Roman" w:hAnsi="Times New Roman" w:eastAsia="方正仿宋_GBK" w:cs="方正仿宋_GBK"/>
          <w:color w:val="auto"/>
          <w:highlight w:val="none"/>
        </w:rPr>
        <w:t>1</w:t>
      </w:r>
      <w:r>
        <w:rPr>
          <w:rFonts w:hint="eastAsia" w:ascii="方正仿宋_GBK" w:hAnsi="方正仿宋_GBK" w:eastAsia="方正仿宋_GBK" w:cs="方正仿宋_GBK"/>
          <w:color w:val="auto"/>
          <w:highlight w:val="none"/>
        </w:rPr>
        <w:t>、产出数量</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bCs/>
          <w:color w:val="auto"/>
          <w:szCs w:val="32"/>
          <w:highlight w:val="none"/>
          <w:lang w:val="en-US" w:eastAsia="zh-CN"/>
        </w:rPr>
        <w:t>指标</w:t>
      </w:r>
      <w:r>
        <w:rPr>
          <w:rFonts w:hint="eastAsia" w:ascii="Times New Roman" w:hAnsi="Times New Roman" w:eastAsia="方正仿宋_GBK" w:cs="方正仿宋_GBK"/>
          <w:bCs/>
          <w:color w:val="auto"/>
          <w:szCs w:val="32"/>
          <w:highlight w:val="none"/>
          <w:lang w:val="en-US" w:eastAsia="zh-CN"/>
        </w:rPr>
        <w:t>1</w:t>
      </w:r>
      <w:r>
        <w:rPr>
          <w:rFonts w:hint="eastAsia" w:ascii="方正仿宋_GBK" w:hAnsi="方正仿宋_GBK" w:eastAsia="方正仿宋_GBK" w:cs="方正仿宋_GBK"/>
          <w:bCs/>
          <w:color w:val="auto"/>
          <w:szCs w:val="32"/>
          <w:highlight w:val="none"/>
          <w:lang w:val="en-US" w:eastAsia="zh-CN"/>
        </w:rPr>
        <w:t>：</w:t>
      </w:r>
      <w:r>
        <w:rPr>
          <w:rFonts w:hint="eastAsia" w:ascii="方正仿宋_GBK" w:hAnsi="方正仿宋_GBK" w:eastAsia="方正仿宋_GBK" w:cs="方正仿宋_GBK"/>
          <w:color w:val="auto"/>
          <w:highlight w:val="none"/>
        </w:rPr>
        <w:t>实施草原禁牧面积，指标值</w:t>
      </w:r>
      <w:r>
        <w:rPr>
          <w:rFonts w:hint="eastAsia" w:ascii="Times New Roman" w:hAnsi="Times New Roman" w:eastAsia="方正仿宋_GBK" w:cs="方正仿宋_GBK"/>
          <w:color w:val="auto"/>
          <w:highlight w:val="none"/>
          <w:lang w:val="en-US" w:eastAsia="zh-CN"/>
        </w:rPr>
        <w:t>160</w:t>
      </w:r>
      <w:r>
        <w:rPr>
          <w:rFonts w:hint="eastAsia" w:ascii="方正仿宋_GBK" w:hAnsi="方正仿宋_GBK" w:eastAsia="方正仿宋_GBK" w:cs="方正仿宋_GBK"/>
          <w:color w:val="auto"/>
          <w:highlight w:val="none"/>
          <w:lang w:val="en-US" w:eastAsia="zh-CN"/>
        </w:rPr>
        <w:t>万亩</w:t>
      </w:r>
      <w:r>
        <w:rPr>
          <w:rFonts w:hint="eastAsia" w:ascii="方正仿宋_GBK" w:hAnsi="方正仿宋_GBK" w:eastAsia="方正仿宋_GBK" w:cs="方正仿宋_GBK"/>
          <w:color w:val="auto"/>
          <w:highlight w:val="none"/>
        </w:rPr>
        <w:t>，实际完成值</w:t>
      </w:r>
      <w:r>
        <w:rPr>
          <w:rFonts w:hint="eastAsia" w:ascii="Times New Roman" w:hAnsi="Times New Roman" w:eastAsia="方正仿宋_GBK" w:cs="方正仿宋_GBK"/>
          <w:color w:val="auto"/>
          <w:highlight w:val="none"/>
          <w:lang w:val="en-US" w:eastAsia="zh-CN"/>
        </w:rPr>
        <w:t>160</w:t>
      </w:r>
      <w:r>
        <w:rPr>
          <w:rFonts w:hint="eastAsia" w:ascii="方正仿宋_GBK" w:hAnsi="方正仿宋_GBK" w:eastAsia="方正仿宋_GBK" w:cs="方正仿宋_GBK"/>
          <w:color w:val="auto"/>
          <w:highlight w:val="none"/>
          <w:lang w:val="en-US" w:eastAsia="zh-CN"/>
        </w:rPr>
        <w:t>万亩</w:t>
      </w:r>
      <w:r>
        <w:rPr>
          <w:rFonts w:hint="eastAsia" w:ascii="方正仿宋_GBK" w:hAnsi="方正仿宋_GBK" w:eastAsia="方正仿宋_GBK" w:cs="方正仿宋_GBK"/>
          <w:color w:val="auto"/>
          <w:highlight w:val="none"/>
        </w:rPr>
        <w:t>，指标完成率</w:t>
      </w:r>
      <w:r>
        <w:rPr>
          <w:rFonts w:hint="eastAsia" w:ascii="Times New Roman" w:hAnsi="Times New Roman" w:eastAsia="方正仿宋_GBK" w:cs="方正仿宋_GBK"/>
          <w:color w:val="auto"/>
          <w:highlight w:val="none"/>
        </w:rPr>
        <w:t>100</w:t>
      </w:r>
      <w:r>
        <w:rPr>
          <w:rFonts w:hint="eastAsia" w:ascii="方正仿宋_GBK" w:hAnsi="方正仿宋_GBK" w:eastAsia="方正仿宋_GBK" w:cs="方正仿宋_GBK"/>
          <w:color w:val="auto"/>
          <w:highlight w:val="none"/>
        </w:rPr>
        <w:t>%；</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bCs/>
          <w:color w:val="auto"/>
          <w:szCs w:val="32"/>
          <w:highlight w:val="none"/>
          <w:lang w:val="en-US" w:eastAsia="zh-CN"/>
        </w:rPr>
        <w:t>指标</w:t>
      </w:r>
      <w:r>
        <w:rPr>
          <w:rFonts w:hint="eastAsia" w:ascii="Times New Roman" w:hAnsi="Times New Roman" w:eastAsia="方正仿宋_GBK" w:cs="方正仿宋_GBK"/>
          <w:bCs/>
          <w:color w:val="auto"/>
          <w:szCs w:val="32"/>
          <w:highlight w:val="none"/>
          <w:lang w:val="en-US" w:eastAsia="zh-CN"/>
        </w:rPr>
        <w:t>2</w:t>
      </w:r>
      <w:r>
        <w:rPr>
          <w:rFonts w:hint="eastAsia" w:ascii="方正仿宋_GBK" w:hAnsi="方正仿宋_GBK" w:eastAsia="方正仿宋_GBK" w:cs="方正仿宋_GBK"/>
          <w:bCs/>
          <w:color w:val="auto"/>
          <w:szCs w:val="32"/>
          <w:highlight w:val="none"/>
          <w:lang w:val="en-US" w:eastAsia="zh-CN"/>
        </w:rPr>
        <w:t>：</w:t>
      </w:r>
      <w:r>
        <w:rPr>
          <w:rFonts w:hint="eastAsia" w:ascii="方正仿宋_GBK" w:hAnsi="方正仿宋_GBK" w:eastAsia="方正仿宋_GBK" w:cs="方正仿宋_GBK"/>
          <w:color w:val="auto"/>
          <w:highlight w:val="none"/>
        </w:rPr>
        <w:t>实施草畜平衡面积，指标值</w:t>
      </w:r>
      <w:r>
        <w:rPr>
          <w:rFonts w:hint="eastAsia" w:ascii="Times New Roman" w:hAnsi="Times New Roman" w:eastAsia="方正仿宋_GBK" w:cs="方正仿宋_GBK"/>
          <w:color w:val="auto"/>
          <w:highlight w:val="none"/>
        </w:rPr>
        <w:t>917</w:t>
      </w:r>
      <w:r>
        <w:rPr>
          <w:rFonts w:hint="eastAsia" w:ascii="方正仿宋_GBK" w:hAnsi="方正仿宋_GBK" w:eastAsia="方正仿宋_GBK" w:cs="方正仿宋_GBK"/>
          <w:color w:val="auto"/>
          <w:highlight w:val="none"/>
        </w:rPr>
        <w:t>.</w:t>
      </w:r>
      <w:r>
        <w:rPr>
          <w:rFonts w:hint="eastAsia" w:ascii="Times New Roman" w:hAnsi="Times New Roman" w:eastAsia="方正仿宋_GBK" w:cs="方正仿宋_GBK"/>
          <w:color w:val="auto"/>
          <w:highlight w:val="none"/>
        </w:rPr>
        <w:t>61</w:t>
      </w:r>
      <w:r>
        <w:rPr>
          <w:rFonts w:hint="eastAsia" w:ascii="方正仿宋_GBK" w:hAnsi="方正仿宋_GBK" w:eastAsia="方正仿宋_GBK" w:cs="方正仿宋_GBK"/>
          <w:color w:val="auto"/>
          <w:highlight w:val="none"/>
        </w:rPr>
        <w:t>万亩，实际完成值</w:t>
      </w:r>
      <w:r>
        <w:rPr>
          <w:rFonts w:hint="eastAsia" w:ascii="Times New Roman" w:hAnsi="Times New Roman" w:eastAsia="方正仿宋_GBK" w:cs="方正仿宋_GBK"/>
          <w:color w:val="auto"/>
          <w:highlight w:val="none"/>
        </w:rPr>
        <w:t>917</w:t>
      </w:r>
      <w:r>
        <w:rPr>
          <w:rFonts w:hint="eastAsia" w:ascii="方正仿宋_GBK" w:hAnsi="方正仿宋_GBK" w:eastAsia="方正仿宋_GBK" w:cs="方正仿宋_GBK"/>
          <w:color w:val="auto"/>
          <w:highlight w:val="none"/>
        </w:rPr>
        <w:t>.</w:t>
      </w:r>
      <w:r>
        <w:rPr>
          <w:rFonts w:hint="eastAsia" w:ascii="Times New Roman" w:hAnsi="Times New Roman" w:eastAsia="方正仿宋_GBK" w:cs="方正仿宋_GBK"/>
          <w:color w:val="auto"/>
          <w:highlight w:val="none"/>
        </w:rPr>
        <w:t>61</w:t>
      </w:r>
      <w:r>
        <w:rPr>
          <w:rFonts w:hint="eastAsia" w:ascii="方正仿宋_GBK" w:hAnsi="方正仿宋_GBK" w:eastAsia="方正仿宋_GBK" w:cs="方正仿宋_GBK"/>
          <w:color w:val="auto"/>
          <w:highlight w:val="none"/>
        </w:rPr>
        <w:t>万亩，指标完成率</w:t>
      </w:r>
      <w:r>
        <w:rPr>
          <w:rFonts w:hint="eastAsia" w:ascii="Times New Roman" w:hAnsi="Times New Roman" w:eastAsia="方正仿宋_GBK" w:cs="方正仿宋_GBK"/>
          <w:color w:val="auto"/>
          <w:highlight w:val="none"/>
        </w:rPr>
        <w:t>100</w:t>
      </w:r>
      <w:r>
        <w:rPr>
          <w:rFonts w:hint="eastAsia" w:ascii="方正仿宋_GBK" w:hAnsi="方正仿宋_GBK" w:eastAsia="方正仿宋_GBK" w:cs="方正仿宋_GBK"/>
          <w:color w:val="auto"/>
          <w:highlight w:val="none"/>
        </w:rPr>
        <w:t>%；</w:t>
      </w:r>
    </w:p>
    <w:p>
      <w:pPr>
        <w:pStyle w:val="2"/>
        <w:rPr>
          <w:rFonts w:hint="default" w:ascii="Times New Roman" w:hAnsi="Times New Roman" w:eastAsia="方正仿宋_GBK" w:cs="Times New Roman"/>
          <w:b w:val="0"/>
          <w:color w:val="auto"/>
          <w:kern w:val="2"/>
          <w:sz w:val="32"/>
          <w:szCs w:val="22"/>
          <w:highlight w:val="none"/>
          <w:lang w:val="en-US" w:eastAsia="zh-CN" w:bidi="ar-SA"/>
        </w:rPr>
      </w:pPr>
      <w:r>
        <w:rPr>
          <w:rFonts w:hint="default" w:ascii="Times New Roman" w:hAnsi="Times New Roman" w:eastAsia="方正仿宋_GBK" w:cs="Times New Roman"/>
          <w:b w:val="0"/>
          <w:color w:val="auto"/>
          <w:kern w:val="2"/>
          <w:sz w:val="32"/>
          <w:szCs w:val="22"/>
          <w:highlight w:val="none"/>
          <w:lang w:val="en-US" w:eastAsia="zh-CN" w:bidi="ar-SA"/>
        </w:rPr>
        <w:t>指标3：发放草原生态保护补助奖励，指标值3254.025万元。实际完成值3254.025万元，指标完成率100%；</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本项满分</w:t>
      </w:r>
      <w:r>
        <w:rPr>
          <w:rFonts w:hint="eastAsia" w:eastAsia="方正仿宋_GBK" w:cs="方正仿宋_GBK"/>
          <w:color w:val="auto"/>
          <w:highlight w:val="none"/>
          <w:lang w:val="en-US" w:eastAsia="zh-CN"/>
        </w:rPr>
        <w:t>12</w:t>
      </w:r>
      <w:r>
        <w:rPr>
          <w:rFonts w:hint="eastAsia" w:ascii="方正仿宋_GBK" w:hAnsi="方正仿宋_GBK" w:eastAsia="方正仿宋_GBK" w:cs="方正仿宋_GBK"/>
          <w:color w:val="auto"/>
          <w:highlight w:val="none"/>
        </w:rPr>
        <w:t>分，评估得分</w:t>
      </w:r>
      <w:r>
        <w:rPr>
          <w:rFonts w:hint="eastAsia" w:eastAsia="方正仿宋_GBK" w:cs="方正仿宋_GBK"/>
          <w:color w:val="auto"/>
          <w:highlight w:val="none"/>
          <w:lang w:val="en-US" w:eastAsia="zh-CN"/>
        </w:rPr>
        <w:t>12</w:t>
      </w:r>
      <w:r>
        <w:rPr>
          <w:rFonts w:hint="eastAsia" w:ascii="方正仿宋_GBK" w:hAnsi="方正仿宋_GBK" w:eastAsia="方正仿宋_GBK" w:cs="方正仿宋_GBK"/>
          <w:color w:val="auto"/>
          <w:highlight w:val="none"/>
        </w:rPr>
        <w:t>分。</w:t>
      </w:r>
    </w:p>
    <w:p>
      <w:pPr>
        <w:bidi w:val="0"/>
        <w:rPr>
          <w:rFonts w:hint="eastAsia" w:ascii="方正仿宋_GBK" w:hAnsi="方正仿宋_GBK" w:eastAsia="方正仿宋_GBK" w:cs="方正仿宋_GBK"/>
          <w:color w:val="auto"/>
          <w:highlight w:val="none"/>
        </w:rPr>
      </w:pPr>
      <w:r>
        <w:rPr>
          <w:rFonts w:hint="eastAsia" w:ascii="Times New Roman" w:hAnsi="Times New Roman" w:eastAsia="方正仿宋_GBK" w:cs="方正仿宋_GBK"/>
          <w:color w:val="auto"/>
          <w:highlight w:val="none"/>
        </w:rPr>
        <w:t>2</w:t>
      </w:r>
      <w:r>
        <w:rPr>
          <w:rFonts w:hint="eastAsia" w:ascii="方正仿宋_GBK" w:hAnsi="方正仿宋_GBK" w:eastAsia="方正仿宋_GBK" w:cs="方正仿宋_GBK"/>
          <w:color w:val="auto"/>
          <w:highlight w:val="none"/>
        </w:rPr>
        <w:t>、产出质量</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bCs/>
          <w:color w:val="auto"/>
          <w:szCs w:val="32"/>
          <w:highlight w:val="none"/>
          <w:lang w:val="en-US" w:eastAsia="zh-CN"/>
        </w:rPr>
        <w:t>指标</w:t>
      </w:r>
      <w:r>
        <w:rPr>
          <w:rFonts w:hint="eastAsia" w:ascii="Times New Roman" w:hAnsi="Times New Roman" w:eastAsia="方正仿宋_GBK" w:cs="方正仿宋_GBK"/>
          <w:bCs/>
          <w:color w:val="auto"/>
          <w:szCs w:val="32"/>
          <w:highlight w:val="none"/>
          <w:lang w:val="en-US" w:eastAsia="zh-CN"/>
        </w:rPr>
        <w:t>1</w:t>
      </w:r>
      <w:r>
        <w:rPr>
          <w:rFonts w:hint="eastAsia" w:ascii="方正仿宋_GBK" w:hAnsi="方正仿宋_GBK" w:eastAsia="方正仿宋_GBK" w:cs="方正仿宋_GBK"/>
          <w:bCs/>
          <w:color w:val="auto"/>
          <w:szCs w:val="32"/>
          <w:highlight w:val="none"/>
          <w:lang w:val="en-US" w:eastAsia="zh-CN"/>
        </w:rPr>
        <w:t>：</w:t>
      </w:r>
      <w:r>
        <w:rPr>
          <w:rFonts w:hint="eastAsia" w:ascii="方正仿宋_GBK" w:hAnsi="方正仿宋_GBK" w:eastAsia="方正仿宋_GBK" w:cs="方正仿宋_GBK"/>
          <w:color w:val="auto"/>
          <w:highlight w:val="none"/>
        </w:rPr>
        <w:t>补贴资金到户率，指</w:t>
      </w:r>
      <w:r>
        <w:rPr>
          <w:rFonts w:hint="default" w:ascii="Times New Roman" w:hAnsi="Times New Roman" w:eastAsia="方正仿宋_GBK" w:cs="Times New Roman"/>
          <w:color w:val="auto"/>
          <w:highlight w:val="none"/>
        </w:rPr>
        <w:t>标值</w:t>
      </w:r>
      <w:r>
        <w:rPr>
          <w:rFonts w:hint="default" w:ascii="Times New Roman" w:hAnsi="Times New Roman" w:eastAsia="方正仿宋_GBK" w:cs="Times New Roman"/>
          <w:color w:val="auto"/>
          <w:highlight w:val="none"/>
          <w:lang w:val="en-US" w:eastAsia="zh-CN"/>
        </w:rPr>
        <w:t>100</w:t>
      </w:r>
      <w:r>
        <w:rPr>
          <w:rFonts w:hint="default" w:ascii="Times New Roman" w:hAnsi="Times New Roman" w:eastAsia="方正仿宋_GBK" w:cs="Times New Roman"/>
          <w:color w:val="auto"/>
          <w:highlight w:val="none"/>
        </w:rPr>
        <w:t>%，</w:t>
      </w:r>
      <w:r>
        <w:rPr>
          <w:rFonts w:hint="eastAsia" w:ascii="方正仿宋_GBK" w:hAnsi="方正仿宋_GBK" w:eastAsia="方正仿宋_GBK" w:cs="方正仿宋_GBK"/>
          <w:color w:val="auto"/>
          <w:highlight w:val="none"/>
        </w:rPr>
        <w:t>指标完成值</w:t>
      </w:r>
      <w:r>
        <w:rPr>
          <w:rFonts w:hint="eastAsia" w:ascii="Times New Roman" w:hAnsi="Times New Roman" w:eastAsia="方正仿宋_GBK" w:cs="方正仿宋_GBK"/>
          <w:color w:val="auto"/>
          <w:highlight w:val="none"/>
        </w:rPr>
        <w:t>100</w:t>
      </w:r>
      <w:r>
        <w:rPr>
          <w:rFonts w:hint="eastAsia" w:ascii="方正仿宋_GBK" w:hAnsi="方正仿宋_GBK" w:eastAsia="方正仿宋_GBK" w:cs="方正仿宋_GBK"/>
          <w:color w:val="auto"/>
          <w:highlight w:val="none"/>
        </w:rPr>
        <w:t>%，指标完成率</w:t>
      </w:r>
      <w:r>
        <w:rPr>
          <w:rFonts w:hint="eastAsia" w:ascii="Times New Roman" w:hAnsi="Times New Roman" w:eastAsia="方正仿宋_GBK" w:cs="方正仿宋_GBK"/>
          <w:color w:val="auto"/>
          <w:highlight w:val="none"/>
        </w:rPr>
        <w:t>100</w:t>
      </w:r>
      <w:r>
        <w:rPr>
          <w:rFonts w:hint="eastAsia" w:ascii="方正仿宋_GBK" w:hAnsi="方正仿宋_GBK" w:eastAsia="方正仿宋_GBK" w:cs="方正仿宋_GBK"/>
          <w:color w:val="auto"/>
          <w:highlight w:val="none"/>
        </w:rPr>
        <w:t>%；</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本项满分</w:t>
      </w:r>
      <w:r>
        <w:rPr>
          <w:rFonts w:hint="eastAsia" w:eastAsia="方正仿宋_GBK" w:cs="方正仿宋_GBK"/>
          <w:color w:val="auto"/>
          <w:highlight w:val="none"/>
          <w:lang w:val="en-US" w:eastAsia="zh-CN"/>
        </w:rPr>
        <w:t>12</w:t>
      </w:r>
      <w:r>
        <w:rPr>
          <w:rFonts w:hint="eastAsia" w:ascii="方正仿宋_GBK" w:hAnsi="方正仿宋_GBK" w:eastAsia="方正仿宋_GBK" w:cs="方正仿宋_GBK"/>
          <w:color w:val="auto"/>
          <w:highlight w:val="none"/>
        </w:rPr>
        <w:t>分，评估得分</w:t>
      </w:r>
      <w:r>
        <w:rPr>
          <w:rFonts w:hint="eastAsia" w:eastAsia="方正仿宋_GBK" w:cs="方正仿宋_GBK"/>
          <w:color w:val="auto"/>
          <w:highlight w:val="none"/>
          <w:lang w:val="en-US" w:eastAsia="zh-CN"/>
        </w:rPr>
        <w:t>12</w:t>
      </w:r>
      <w:r>
        <w:rPr>
          <w:rFonts w:hint="eastAsia" w:ascii="方正仿宋_GBK" w:hAnsi="方正仿宋_GBK" w:eastAsia="方正仿宋_GBK" w:cs="方正仿宋_GBK"/>
          <w:color w:val="auto"/>
          <w:highlight w:val="none"/>
        </w:rPr>
        <w:t>分。</w:t>
      </w:r>
    </w:p>
    <w:p>
      <w:pPr>
        <w:bidi w:val="0"/>
        <w:rPr>
          <w:rFonts w:hint="eastAsia" w:ascii="方正仿宋_GBK" w:hAnsi="方正仿宋_GBK" w:eastAsia="方正仿宋_GBK" w:cs="方正仿宋_GBK"/>
          <w:color w:val="auto"/>
          <w:highlight w:val="none"/>
        </w:rPr>
      </w:pPr>
      <w:r>
        <w:rPr>
          <w:rFonts w:hint="eastAsia" w:ascii="Times New Roman" w:hAnsi="Times New Roman" w:eastAsia="方正仿宋_GBK" w:cs="方正仿宋_GBK"/>
          <w:color w:val="auto"/>
          <w:highlight w:val="none"/>
        </w:rPr>
        <w:t>3</w:t>
      </w:r>
      <w:r>
        <w:rPr>
          <w:rFonts w:hint="eastAsia" w:ascii="方正仿宋_GBK" w:hAnsi="方正仿宋_GBK" w:eastAsia="方正仿宋_GBK" w:cs="方正仿宋_GBK"/>
          <w:color w:val="auto"/>
          <w:highlight w:val="none"/>
        </w:rPr>
        <w:t>、产出时效</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bCs/>
          <w:color w:val="auto"/>
          <w:szCs w:val="32"/>
          <w:highlight w:val="none"/>
          <w:lang w:val="en-US" w:eastAsia="zh-CN"/>
        </w:rPr>
        <w:t>指标</w:t>
      </w:r>
      <w:r>
        <w:rPr>
          <w:rFonts w:hint="eastAsia" w:ascii="Times New Roman" w:hAnsi="Times New Roman" w:eastAsia="方正仿宋_GBK" w:cs="方正仿宋_GBK"/>
          <w:bCs/>
          <w:color w:val="auto"/>
          <w:szCs w:val="32"/>
          <w:highlight w:val="none"/>
          <w:lang w:val="en-US" w:eastAsia="zh-CN"/>
        </w:rPr>
        <w:t>1</w:t>
      </w:r>
      <w:r>
        <w:rPr>
          <w:rFonts w:hint="eastAsia" w:ascii="方正仿宋_GBK" w:hAnsi="方正仿宋_GBK" w:eastAsia="方正仿宋_GBK" w:cs="方正仿宋_GBK"/>
          <w:bCs/>
          <w:color w:val="auto"/>
          <w:szCs w:val="32"/>
          <w:highlight w:val="none"/>
          <w:lang w:val="en-US" w:eastAsia="zh-CN"/>
        </w:rPr>
        <w:t>：</w:t>
      </w:r>
      <w:r>
        <w:rPr>
          <w:rFonts w:hint="eastAsia" w:ascii="方正仿宋_GBK" w:hAnsi="方正仿宋_GBK" w:eastAsia="方正仿宋_GBK" w:cs="方正仿宋_GBK"/>
          <w:color w:val="auto"/>
          <w:highlight w:val="none"/>
        </w:rPr>
        <w:t>草原保护利用奖补资金发放到位时间</w:t>
      </w:r>
      <w:r>
        <w:rPr>
          <w:rFonts w:hint="eastAsia" w:ascii="方正仿宋_GBK" w:hAnsi="方正仿宋_GBK" w:eastAsia="方正仿宋_GBK" w:cs="方正仿宋_GBK"/>
          <w:color w:val="auto"/>
          <w:highlight w:val="none"/>
          <w:lang w:eastAsia="zh-CN"/>
        </w:rPr>
        <w:t>，</w:t>
      </w:r>
      <w:r>
        <w:rPr>
          <w:rFonts w:hint="eastAsia" w:ascii="方正仿宋_GBK" w:hAnsi="方正仿宋_GBK" w:eastAsia="方正仿宋_GBK" w:cs="方正仿宋_GBK"/>
          <w:color w:val="auto"/>
          <w:highlight w:val="none"/>
        </w:rPr>
        <w:t>指标值</w:t>
      </w:r>
      <w:r>
        <w:rPr>
          <w:rFonts w:hint="default" w:ascii="Times New Roman" w:hAnsi="Times New Roman" w:eastAsia="方正仿宋_GBK" w:cs="Times New Roman"/>
          <w:color w:val="auto"/>
          <w:highlight w:val="none"/>
        </w:rPr>
        <w:t>2023年10月31日前，</w:t>
      </w:r>
      <w:r>
        <w:rPr>
          <w:rFonts w:hint="eastAsia" w:ascii="方正仿宋_GBK" w:hAnsi="方正仿宋_GBK" w:eastAsia="方正仿宋_GBK" w:cs="方正仿宋_GBK"/>
          <w:color w:val="auto"/>
          <w:highlight w:val="none"/>
        </w:rPr>
        <w:t>指标完成值</w:t>
      </w:r>
      <w:r>
        <w:rPr>
          <w:rFonts w:hint="eastAsia" w:eastAsia="方正仿宋_GBK" w:cs="方正仿宋_GBK"/>
          <w:color w:val="auto"/>
          <w:highlight w:val="none"/>
          <w:lang w:val="en-US" w:eastAsia="zh-CN"/>
        </w:rPr>
        <w:t>2023年6月</w:t>
      </w:r>
      <w:r>
        <w:rPr>
          <w:rFonts w:hint="eastAsia" w:ascii="方正仿宋_GBK" w:hAnsi="方正仿宋_GBK" w:eastAsia="方正仿宋_GBK" w:cs="方正仿宋_GBK"/>
          <w:color w:val="auto"/>
          <w:highlight w:val="none"/>
        </w:rPr>
        <w:t>，指标完成率</w:t>
      </w:r>
      <w:r>
        <w:rPr>
          <w:rFonts w:hint="eastAsia" w:ascii="Times New Roman" w:hAnsi="Times New Roman" w:eastAsia="方正仿宋_GBK" w:cs="方正仿宋_GBK"/>
          <w:color w:val="auto"/>
          <w:highlight w:val="none"/>
        </w:rPr>
        <w:t>100</w:t>
      </w:r>
      <w:r>
        <w:rPr>
          <w:rFonts w:hint="eastAsia" w:ascii="方正仿宋_GBK" w:hAnsi="方正仿宋_GBK" w:eastAsia="方正仿宋_GBK" w:cs="方正仿宋_GBK"/>
          <w:color w:val="auto"/>
          <w:highlight w:val="none"/>
        </w:rPr>
        <w:t>%。</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本项满分</w:t>
      </w:r>
      <w:r>
        <w:rPr>
          <w:rFonts w:hint="eastAsia" w:eastAsia="方正仿宋_GBK" w:cs="方正仿宋_GBK"/>
          <w:color w:val="auto"/>
          <w:highlight w:val="none"/>
          <w:lang w:val="en-US" w:eastAsia="zh-CN"/>
        </w:rPr>
        <w:t>8</w:t>
      </w:r>
      <w:r>
        <w:rPr>
          <w:rFonts w:hint="eastAsia" w:ascii="方正仿宋_GBK" w:hAnsi="方正仿宋_GBK" w:eastAsia="方正仿宋_GBK" w:cs="方正仿宋_GBK"/>
          <w:color w:val="auto"/>
          <w:highlight w:val="none"/>
        </w:rPr>
        <w:t>分，评估得分</w:t>
      </w:r>
      <w:r>
        <w:rPr>
          <w:rFonts w:hint="eastAsia" w:eastAsia="方正仿宋_GBK" w:cs="方正仿宋_GBK"/>
          <w:color w:val="auto"/>
          <w:highlight w:val="none"/>
          <w:lang w:val="en-US" w:eastAsia="zh-CN"/>
        </w:rPr>
        <w:t>8</w:t>
      </w:r>
      <w:r>
        <w:rPr>
          <w:rFonts w:hint="eastAsia" w:ascii="方正仿宋_GBK" w:hAnsi="方正仿宋_GBK" w:eastAsia="方正仿宋_GBK" w:cs="方正仿宋_GBK"/>
          <w:color w:val="auto"/>
          <w:highlight w:val="none"/>
        </w:rPr>
        <w:t>分。</w:t>
      </w:r>
    </w:p>
    <w:p>
      <w:pPr>
        <w:bidi w:val="0"/>
        <w:rPr>
          <w:rFonts w:hint="eastAsia" w:ascii="方正仿宋_GBK" w:hAnsi="方正仿宋_GBK" w:eastAsia="方正仿宋_GBK" w:cs="方正仿宋_GBK"/>
          <w:color w:val="auto"/>
          <w:highlight w:val="none"/>
        </w:rPr>
      </w:pPr>
      <w:r>
        <w:rPr>
          <w:rFonts w:hint="eastAsia" w:eastAsia="方正仿宋_GBK" w:cs="方正仿宋_GBK"/>
          <w:color w:val="auto"/>
          <w:highlight w:val="none"/>
          <w:lang w:val="en-US" w:eastAsia="zh-CN"/>
        </w:rPr>
        <w:t>4</w:t>
      </w:r>
      <w:r>
        <w:rPr>
          <w:rFonts w:hint="eastAsia" w:ascii="方正仿宋_GBK" w:hAnsi="方正仿宋_GBK" w:eastAsia="方正仿宋_GBK" w:cs="方正仿宋_GBK"/>
          <w:color w:val="auto"/>
          <w:highlight w:val="none"/>
        </w:rPr>
        <w:t>、产出</w:t>
      </w:r>
      <w:r>
        <w:rPr>
          <w:rFonts w:hint="eastAsia" w:ascii="方正仿宋_GBK" w:hAnsi="方正仿宋_GBK" w:eastAsia="方正仿宋_GBK" w:cs="方正仿宋_GBK"/>
          <w:color w:val="auto"/>
          <w:highlight w:val="none"/>
          <w:lang w:val="en-US" w:eastAsia="zh-CN"/>
        </w:rPr>
        <w:t>成本</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bCs/>
          <w:color w:val="auto"/>
          <w:szCs w:val="32"/>
          <w:highlight w:val="none"/>
          <w:lang w:val="en-US" w:eastAsia="zh-CN"/>
        </w:rPr>
        <w:t>指标</w:t>
      </w:r>
      <w:r>
        <w:rPr>
          <w:rFonts w:hint="eastAsia" w:ascii="Times New Roman" w:hAnsi="Times New Roman" w:eastAsia="方正仿宋_GBK" w:cs="方正仿宋_GBK"/>
          <w:bCs/>
          <w:color w:val="auto"/>
          <w:szCs w:val="32"/>
          <w:highlight w:val="none"/>
          <w:lang w:val="en-US" w:eastAsia="zh-CN"/>
        </w:rPr>
        <w:t>1</w:t>
      </w:r>
      <w:r>
        <w:rPr>
          <w:rFonts w:hint="eastAsia" w:ascii="方正仿宋_GBK" w:hAnsi="方正仿宋_GBK" w:eastAsia="方正仿宋_GBK" w:cs="方正仿宋_GBK"/>
          <w:bCs/>
          <w:color w:val="auto"/>
          <w:szCs w:val="32"/>
          <w:highlight w:val="none"/>
          <w:lang w:val="en-US" w:eastAsia="zh-CN"/>
        </w:rPr>
        <w:t>：</w:t>
      </w:r>
      <w:r>
        <w:rPr>
          <w:rFonts w:hint="eastAsia" w:ascii="方正仿宋_GBK" w:hAnsi="方正仿宋_GBK" w:eastAsia="方正仿宋_GBK" w:cs="方正仿宋_GBK"/>
          <w:color w:val="auto"/>
          <w:highlight w:val="none"/>
        </w:rPr>
        <w:t>严重退化区和风沙源区禁牧补助</w:t>
      </w:r>
      <w:r>
        <w:rPr>
          <w:rFonts w:hint="eastAsia" w:ascii="方正仿宋_GBK" w:hAnsi="方正仿宋_GBK" w:eastAsia="方正仿宋_GBK" w:cs="方正仿宋_GBK"/>
          <w:color w:val="auto"/>
          <w:highlight w:val="none"/>
          <w:lang w:eastAsia="zh-CN"/>
        </w:rPr>
        <w:t>，</w:t>
      </w:r>
      <w:r>
        <w:rPr>
          <w:rFonts w:hint="eastAsia" w:ascii="方正仿宋_GBK" w:hAnsi="方正仿宋_GBK" w:eastAsia="方正仿宋_GBK" w:cs="方正仿宋_GBK"/>
          <w:color w:val="auto"/>
          <w:highlight w:val="none"/>
        </w:rPr>
        <w:t>指标值</w:t>
      </w:r>
      <w:r>
        <w:rPr>
          <w:rFonts w:hint="default" w:ascii="Times New Roman" w:hAnsi="Times New Roman" w:eastAsia="方正仿宋_GBK" w:cs="Times New Roman"/>
          <w:color w:val="auto"/>
          <w:highlight w:val="none"/>
        </w:rPr>
        <w:t>6元/亩/年，</w:t>
      </w:r>
      <w:r>
        <w:rPr>
          <w:rFonts w:hint="eastAsia" w:ascii="方正仿宋_GBK" w:hAnsi="方正仿宋_GBK" w:eastAsia="方正仿宋_GBK" w:cs="方正仿宋_GBK"/>
          <w:color w:val="auto"/>
          <w:highlight w:val="none"/>
        </w:rPr>
        <w:t>指标完成值</w:t>
      </w:r>
      <w:r>
        <w:rPr>
          <w:rFonts w:hint="default" w:ascii="Times New Roman" w:hAnsi="Times New Roman" w:eastAsia="方正仿宋_GBK" w:cs="Times New Roman"/>
          <w:color w:val="auto"/>
          <w:highlight w:val="none"/>
        </w:rPr>
        <w:t>6元/亩/年</w:t>
      </w:r>
      <w:r>
        <w:rPr>
          <w:rFonts w:hint="eastAsia" w:ascii="方正仿宋_GBK" w:hAnsi="方正仿宋_GBK" w:eastAsia="方正仿宋_GBK" w:cs="方正仿宋_GBK"/>
          <w:color w:val="auto"/>
          <w:highlight w:val="none"/>
        </w:rPr>
        <w:t>，指标完成率</w:t>
      </w:r>
      <w:r>
        <w:rPr>
          <w:rFonts w:hint="eastAsia" w:ascii="Times New Roman" w:hAnsi="Times New Roman" w:eastAsia="方正仿宋_GBK" w:cs="方正仿宋_GBK"/>
          <w:color w:val="auto"/>
          <w:highlight w:val="none"/>
        </w:rPr>
        <w:t>100</w:t>
      </w:r>
      <w:r>
        <w:rPr>
          <w:rFonts w:hint="eastAsia" w:ascii="方正仿宋_GBK" w:hAnsi="方正仿宋_GBK" w:eastAsia="方正仿宋_GBK" w:cs="方正仿宋_GBK"/>
          <w:color w:val="auto"/>
          <w:highlight w:val="none"/>
        </w:rPr>
        <w:t>%。</w:t>
      </w:r>
    </w:p>
    <w:p>
      <w:pPr>
        <w:bidi w:val="0"/>
        <w:rPr>
          <w:rFonts w:hint="default" w:ascii="Times New Roman" w:hAnsi="Times New Roman" w:eastAsia="方正仿宋_GBK" w:cs="Times New Roman"/>
          <w:color w:val="auto"/>
          <w:highlight w:val="none"/>
          <w:lang w:val="en-US" w:eastAsia="zh-CN"/>
        </w:rPr>
      </w:pPr>
      <w:r>
        <w:rPr>
          <w:rFonts w:hint="default" w:ascii="Times New Roman" w:hAnsi="Times New Roman" w:eastAsia="方正仿宋_GBK" w:cs="Times New Roman"/>
          <w:color w:val="auto"/>
          <w:highlight w:val="none"/>
          <w:lang w:val="en-US" w:eastAsia="zh-CN"/>
        </w:rPr>
        <w:t>指标2：草畜平衡奖励，</w:t>
      </w:r>
      <w:r>
        <w:rPr>
          <w:rFonts w:hint="default" w:ascii="Times New Roman" w:hAnsi="Times New Roman" w:eastAsia="方正仿宋_GBK" w:cs="Times New Roman"/>
          <w:color w:val="auto"/>
          <w:highlight w:val="none"/>
        </w:rPr>
        <w:t>指标值</w:t>
      </w:r>
      <w:r>
        <w:rPr>
          <w:rFonts w:hint="default" w:ascii="Times New Roman" w:hAnsi="Times New Roman" w:eastAsia="方正仿宋_GBK" w:cs="Times New Roman"/>
          <w:color w:val="auto"/>
          <w:highlight w:val="none"/>
          <w:lang w:val="en-US" w:eastAsia="zh-CN"/>
        </w:rPr>
        <w:t>2.5</w:t>
      </w:r>
      <w:r>
        <w:rPr>
          <w:rFonts w:hint="default" w:ascii="Times New Roman" w:hAnsi="Times New Roman" w:eastAsia="方正仿宋_GBK" w:cs="Times New Roman"/>
          <w:color w:val="auto"/>
          <w:highlight w:val="none"/>
        </w:rPr>
        <w:t>元/亩/年，指标完成值</w:t>
      </w:r>
      <w:r>
        <w:rPr>
          <w:rFonts w:hint="default" w:ascii="Times New Roman" w:hAnsi="Times New Roman" w:eastAsia="方正仿宋_GBK" w:cs="Times New Roman"/>
          <w:color w:val="auto"/>
          <w:highlight w:val="none"/>
          <w:lang w:val="en-US" w:eastAsia="zh-CN"/>
        </w:rPr>
        <w:t>2.5</w:t>
      </w:r>
      <w:r>
        <w:rPr>
          <w:rFonts w:hint="default" w:ascii="Times New Roman" w:hAnsi="Times New Roman" w:eastAsia="方正仿宋_GBK" w:cs="Times New Roman"/>
          <w:color w:val="auto"/>
          <w:highlight w:val="none"/>
        </w:rPr>
        <w:t>元/亩/年，指标完成率100%。</w:t>
      </w:r>
    </w:p>
    <w:p>
      <w:pPr>
        <w:bidi w:val="0"/>
        <w:rPr>
          <w:rFonts w:hint="eastAsia"/>
          <w:color w:val="auto"/>
          <w:highlight w:val="none"/>
        </w:rPr>
      </w:pPr>
      <w:r>
        <w:rPr>
          <w:rFonts w:hint="eastAsia" w:ascii="方正仿宋_GBK" w:hAnsi="方正仿宋_GBK" w:eastAsia="方正仿宋_GBK" w:cs="方正仿宋_GBK"/>
          <w:color w:val="auto"/>
          <w:highlight w:val="none"/>
        </w:rPr>
        <w:t>本项满分</w:t>
      </w:r>
      <w:r>
        <w:rPr>
          <w:rFonts w:hint="eastAsia" w:eastAsia="方正仿宋_GBK" w:cs="方正仿宋_GBK"/>
          <w:color w:val="auto"/>
          <w:highlight w:val="none"/>
          <w:lang w:val="en-US" w:eastAsia="zh-CN"/>
        </w:rPr>
        <w:t>8</w:t>
      </w:r>
      <w:r>
        <w:rPr>
          <w:rFonts w:hint="eastAsia" w:ascii="方正仿宋_GBK" w:hAnsi="方正仿宋_GBK" w:eastAsia="方正仿宋_GBK" w:cs="方正仿宋_GBK"/>
          <w:color w:val="auto"/>
          <w:highlight w:val="none"/>
        </w:rPr>
        <w:t>分，评估得分</w:t>
      </w:r>
      <w:r>
        <w:rPr>
          <w:rFonts w:hint="eastAsia" w:eastAsia="方正仿宋_GBK" w:cs="方正仿宋_GBK"/>
          <w:color w:val="auto"/>
          <w:highlight w:val="none"/>
          <w:lang w:val="en-US" w:eastAsia="zh-CN"/>
        </w:rPr>
        <w:t>8</w:t>
      </w:r>
      <w:r>
        <w:rPr>
          <w:rFonts w:hint="eastAsia" w:ascii="方正仿宋_GBK" w:hAnsi="方正仿宋_GBK" w:eastAsia="方正仿宋_GBK" w:cs="方正仿宋_GBK"/>
          <w:color w:val="auto"/>
          <w:highlight w:val="none"/>
        </w:rPr>
        <w:t>分。</w:t>
      </w:r>
    </w:p>
    <w:p>
      <w:pPr>
        <w:pStyle w:val="2"/>
        <w:bidi w:val="0"/>
        <w:rPr>
          <w:rFonts w:hint="eastAsia" w:ascii="方正仿宋_GBK" w:hAnsi="方正仿宋_GBK" w:eastAsia="方正仿宋_GBK" w:cs="方正仿宋_GBK"/>
          <w:color w:val="auto"/>
          <w:highlight w:val="none"/>
        </w:rPr>
      </w:pPr>
      <w:bookmarkStart w:id="21" w:name="_Toc28354"/>
      <w:r>
        <w:rPr>
          <w:rFonts w:hint="eastAsia" w:ascii="方正仿宋_GBK" w:hAnsi="方正仿宋_GBK" w:eastAsia="方正仿宋_GBK" w:cs="方正仿宋_GBK"/>
          <w:color w:val="auto"/>
          <w:highlight w:val="none"/>
        </w:rPr>
        <w:t>（四）项目效益情况</w:t>
      </w:r>
      <w:bookmarkEnd w:id="21"/>
    </w:p>
    <w:p>
      <w:pPr>
        <w:bidi w:val="0"/>
        <w:rPr>
          <w:rFonts w:hint="eastAsia" w:ascii="方正仿宋_GBK" w:hAnsi="方正仿宋_GBK" w:eastAsia="方正仿宋_GBK" w:cs="方正仿宋_GBK"/>
          <w:color w:val="auto"/>
          <w:highlight w:val="none"/>
        </w:rPr>
      </w:pPr>
      <w:r>
        <w:rPr>
          <w:rFonts w:hint="eastAsia" w:ascii="Times New Roman" w:hAnsi="Times New Roman" w:eastAsia="方正仿宋_GBK" w:cs="方正仿宋_GBK"/>
          <w:color w:val="auto"/>
          <w:highlight w:val="none"/>
        </w:rPr>
        <w:t>1</w:t>
      </w:r>
      <w:r>
        <w:rPr>
          <w:rFonts w:hint="eastAsia" w:ascii="方正仿宋_GBK" w:hAnsi="方正仿宋_GBK" w:eastAsia="方正仿宋_GBK" w:cs="方正仿宋_GBK"/>
          <w:color w:val="auto"/>
          <w:highlight w:val="none"/>
        </w:rPr>
        <w:t>、实际效益</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本项目实施所产生的效益主要包括生态效益和可持续影响。</w:t>
      </w:r>
    </w:p>
    <w:p>
      <w:pPr>
        <w:bidi w:val="0"/>
        <w:rPr>
          <w:rFonts w:hint="eastAsia" w:ascii="方正仿宋_GBK" w:hAnsi="方正仿宋_GBK" w:eastAsia="方正仿宋_GBK" w:cs="方正仿宋_GBK"/>
          <w:color w:val="auto"/>
          <w:highlight w:val="none"/>
          <w:lang w:val="en-US" w:eastAsia="zh-CN"/>
        </w:rPr>
      </w:pPr>
      <w:r>
        <w:rPr>
          <w:rFonts w:hint="eastAsia" w:ascii="方正仿宋_GBK" w:hAnsi="方正仿宋_GBK" w:eastAsia="方正仿宋_GBK" w:cs="方正仿宋_GBK"/>
          <w:color w:val="auto"/>
          <w:highlight w:val="none"/>
          <w:lang w:val="en-US" w:eastAsia="zh-CN"/>
        </w:rPr>
        <w:t>项目的实施进一步改善</w:t>
      </w:r>
      <w:r>
        <w:rPr>
          <w:rFonts w:hint="eastAsia" w:ascii="方正仿宋_GBK" w:hAnsi="方正仿宋_GBK" w:eastAsia="方正仿宋_GBK" w:cs="方正仿宋_GBK"/>
          <w:color w:val="auto"/>
          <w:highlight w:val="none"/>
        </w:rPr>
        <w:t>全县草原生态环境</w:t>
      </w:r>
      <w:r>
        <w:rPr>
          <w:rFonts w:hint="eastAsia" w:ascii="方正仿宋_GBK" w:hAnsi="方正仿宋_GBK" w:eastAsia="方正仿宋_GBK" w:cs="方正仿宋_GBK"/>
          <w:color w:val="auto"/>
          <w:highlight w:val="none"/>
          <w:lang w:eastAsia="zh-CN"/>
        </w:rPr>
        <w:t>，天然草场生产能力有所提高。</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本项满分</w:t>
      </w:r>
      <w:r>
        <w:rPr>
          <w:rFonts w:hint="eastAsia" w:ascii="Times New Roman" w:hAnsi="Times New Roman" w:eastAsia="方正仿宋_GBK" w:cs="方正仿宋_GBK"/>
          <w:color w:val="auto"/>
          <w:highlight w:val="none"/>
        </w:rPr>
        <w:t>10</w:t>
      </w:r>
      <w:r>
        <w:rPr>
          <w:rFonts w:hint="eastAsia" w:ascii="方正仿宋_GBK" w:hAnsi="方正仿宋_GBK" w:eastAsia="方正仿宋_GBK" w:cs="方正仿宋_GBK"/>
          <w:color w:val="auto"/>
          <w:highlight w:val="none"/>
        </w:rPr>
        <w:t>分，评估得分</w:t>
      </w:r>
      <w:r>
        <w:rPr>
          <w:rFonts w:hint="eastAsia" w:ascii="Times New Roman" w:hAnsi="Times New Roman" w:eastAsia="方正仿宋_GBK" w:cs="方正仿宋_GBK"/>
          <w:color w:val="auto"/>
          <w:highlight w:val="none"/>
        </w:rPr>
        <w:t>10</w:t>
      </w:r>
      <w:r>
        <w:rPr>
          <w:rFonts w:hint="eastAsia" w:ascii="方正仿宋_GBK" w:hAnsi="方正仿宋_GBK" w:eastAsia="方正仿宋_GBK" w:cs="方正仿宋_GBK"/>
          <w:color w:val="auto"/>
          <w:highlight w:val="none"/>
        </w:rPr>
        <w:t>分。</w:t>
      </w:r>
    </w:p>
    <w:p>
      <w:pPr>
        <w:bidi w:val="0"/>
        <w:rPr>
          <w:rFonts w:hint="eastAsia" w:ascii="方正仿宋_GBK" w:hAnsi="方正仿宋_GBK" w:eastAsia="方正仿宋_GBK" w:cs="方正仿宋_GBK"/>
          <w:color w:val="auto"/>
          <w:highlight w:val="none"/>
        </w:rPr>
      </w:pPr>
      <w:r>
        <w:rPr>
          <w:rFonts w:hint="eastAsia" w:ascii="Times New Roman" w:hAnsi="Times New Roman" w:eastAsia="方正仿宋_GBK" w:cs="方正仿宋_GBK"/>
          <w:color w:val="auto"/>
          <w:highlight w:val="none"/>
        </w:rPr>
        <w:t>2</w:t>
      </w:r>
      <w:r>
        <w:rPr>
          <w:rFonts w:hint="eastAsia" w:ascii="方正仿宋_GBK" w:hAnsi="方正仿宋_GBK" w:eastAsia="方正仿宋_GBK" w:cs="方正仿宋_GBK"/>
          <w:color w:val="auto"/>
          <w:highlight w:val="none"/>
        </w:rPr>
        <w:t>、满意度</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本项目服务对象和受益群众主要是</w:t>
      </w:r>
      <w:r>
        <w:rPr>
          <w:rFonts w:hint="eastAsia" w:ascii="方正仿宋_GBK" w:hAnsi="方正仿宋_GBK" w:eastAsia="方正仿宋_GBK" w:cs="方正仿宋_GBK"/>
          <w:color w:val="auto"/>
          <w:highlight w:val="none"/>
          <w:lang w:val="en-US" w:eastAsia="zh-CN"/>
        </w:rPr>
        <w:t>牧民群众</w:t>
      </w:r>
      <w:r>
        <w:rPr>
          <w:rFonts w:hint="eastAsia" w:ascii="方正仿宋_GBK" w:hAnsi="方正仿宋_GBK" w:eastAsia="方正仿宋_GBK" w:cs="方正仿宋_GBK"/>
          <w:color w:val="auto"/>
          <w:highlight w:val="none"/>
        </w:rPr>
        <w:t>，通过问卷调查方式收集</w:t>
      </w:r>
      <w:r>
        <w:rPr>
          <w:rFonts w:hint="eastAsia" w:ascii="方正仿宋_GBK" w:hAnsi="方正仿宋_GBK" w:eastAsia="方正仿宋_GBK" w:cs="方正仿宋_GBK"/>
          <w:color w:val="auto"/>
          <w:highlight w:val="none"/>
          <w:lang w:val="en-US" w:eastAsia="zh-CN"/>
        </w:rPr>
        <w:t>群众</w:t>
      </w:r>
      <w:r>
        <w:rPr>
          <w:rFonts w:hint="eastAsia" w:ascii="方正仿宋_GBK" w:hAnsi="方正仿宋_GBK" w:eastAsia="方正仿宋_GBK" w:cs="方正仿宋_GBK"/>
          <w:color w:val="auto"/>
          <w:highlight w:val="none"/>
        </w:rPr>
        <w:t>对本项目实施的满意度。服务群众满意度</w:t>
      </w:r>
      <w:r>
        <w:rPr>
          <w:rFonts w:hint="eastAsia" w:ascii="Times New Roman" w:hAnsi="Times New Roman" w:eastAsia="方正仿宋_GBK" w:cs="方正仿宋_GBK"/>
          <w:color w:val="auto"/>
          <w:highlight w:val="none"/>
          <w:lang w:val="en-US" w:eastAsia="zh-CN"/>
        </w:rPr>
        <w:t>95</w:t>
      </w:r>
      <w:r>
        <w:rPr>
          <w:rFonts w:hint="eastAsia" w:ascii="方正仿宋_GBK" w:hAnsi="方正仿宋_GBK" w:eastAsia="方正仿宋_GBK" w:cs="方正仿宋_GBK"/>
          <w:color w:val="auto"/>
          <w:highlight w:val="none"/>
          <w:lang w:val="en-US" w:eastAsia="zh-CN"/>
        </w:rPr>
        <w:t>%以上。</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本项满分</w:t>
      </w:r>
      <w:r>
        <w:rPr>
          <w:rFonts w:hint="eastAsia" w:ascii="Times New Roman" w:hAnsi="Times New Roman" w:eastAsia="方正仿宋_GBK" w:cs="方正仿宋_GBK"/>
          <w:color w:val="auto"/>
          <w:highlight w:val="none"/>
        </w:rPr>
        <w:t>10</w:t>
      </w:r>
      <w:r>
        <w:rPr>
          <w:rFonts w:hint="eastAsia" w:ascii="方正仿宋_GBK" w:hAnsi="方正仿宋_GBK" w:eastAsia="方正仿宋_GBK" w:cs="方正仿宋_GBK"/>
          <w:color w:val="auto"/>
          <w:highlight w:val="none"/>
        </w:rPr>
        <w:t>分，评估得分</w:t>
      </w:r>
      <w:r>
        <w:rPr>
          <w:rFonts w:hint="eastAsia" w:ascii="Times New Roman" w:hAnsi="Times New Roman" w:eastAsia="方正仿宋_GBK" w:cs="方正仿宋_GBK"/>
          <w:color w:val="auto"/>
          <w:highlight w:val="none"/>
        </w:rPr>
        <w:t>10</w:t>
      </w:r>
      <w:r>
        <w:rPr>
          <w:rFonts w:hint="eastAsia" w:ascii="方正仿宋_GBK" w:hAnsi="方正仿宋_GBK" w:eastAsia="方正仿宋_GBK" w:cs="方正仿宋_GBK"/>
          <w:color w:val="auto"/>
          <w:highlight w:val="none"/>
        </w:rPr>
        <w:t>分。</w:t>
      </w:r>
    </w:p>
    <w:p>
      <w:pPr>
        <w:pStyle w:val="4"/>
        <w:bidi w:val="0"/>
        <w:rPr>
          <w:rFonts w:hint="eastAsia" w:ascii="方正仿宋_GBK" w:hAnsi="方正仿宋_GBK" w:eastAsia="方正仿宋_GBK" w:cs="方正仿宋_GBK"/>
          <w:color w:val="auto"/>
          <w:highlight w:val="none"/>
        </w:rPr>
      </w:pPr>
      <w:bookmarkStart w:id="22" w:name="_Toc27244"/>
      <w:r>
        <w:rPr>
          <w:rFonts w:hint="eastAsia" w:ascii="方正仿宋_GBK" w:hAnsi="方正仿宋_GBK" w:eastAsia="方正仿宋_GBK" w:cs="方正仿宋_GBK"/>
          <w:color w:val="auto"/>
          <w:highlight w:val="none"/>
        </w:rPr>
        <w:t>五、主要经验及做法、存在的问题及原因分析</w:t>
      </w:r>
      <w:bookmarkEnd w:id="22"/>
    </w:p>
    <w:p>
      <w:pPr>
        <w:pStyle w:val="2"/>
        <w:bidi w:val="0"/>
        <w:rPr>
          <w:rFonts w:hint="eastAsia" w:ascii="方正仿宋_GBK" w:hAnsi="方正仿宋_GBK" w:eastAsia="方正仿宋_GBK" w:cs="方正仿宋_GBK"/>
          <w:color w:val="auto"/>
          <w:highlight w:val="none"/>
        </w:rPr>
      </w:pPr>
      <w:bookmarkStart w:id="23" w:name="_Toc18880"/>
      <w:r>
        <w:rPr>
          <w:rFonts w:hint="eastAsia" w:ascii="方正仿宋_GBK" w:hAnsi="方正仿宋_GBK" w:eastAsia="方正仿宋_GBK" w:cs="方正仿宋_GBK"/>
          <w:color w:val="auto"/>
          <w:highlight w:val="none"/>
        </w:rPr>
        <w:t>（一）主要经验及做法</w:t>
      </w:r>
      <w:bookmarkEnd w:id="23"/>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lang w:eastAsia="zh-CN"/>
        </w:rPr>
        <w:t>草原生态保护补助奖励资金</w:t>
      </w:r>
      <w:r>
        <w:rPr>
          <w:rFonts w:hint="eastAsia" w:ascii="方正仿宋_GBK" w:hAnsi="方正仿宋_GBK" w:eastAsia="方正仿宋_GBK" w:cs="方正仿宋_GBK"/>
          <w:color w:val="auto"/>
          <w:highlight w:val="none"/>
        </w:rPr>
        <w:t>县委、县</w:t>
      </w:r>
      <w:bookmarkStart w:id="35" w:name="_GoBack"/>
      <w:bookmarkEnd w:id="35"/>
      <w:r>
        <w:rPr>
          <w:rFonts w:hint="eastAsia" w:ascii="方正仿宋_GBK" w:hAnsi="方正仿宋_GBK" w:eastAsia="方正仿宋_GBK" w:cs="方正仿宋_GBK"/>
          <w:color w:val="auto"/>
          <w:highlight w:val="none"/>
        </w:rPr>
        <w:t>政府的支持下，在相关部门的配合下，全面顺利完成，绩效评价“优”，主要经验及做法如下：</w:t>
      </w:r>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严格程序，确保资金效益。严格资金审批流程，明确资金使用范围，保证项目资金专款专用，有效杜绝了截留、挪用、滞留、浪费资金等现象的发生，确保了资金使用安全和最大效益的发挥。</w:t>
      </w:r>
    </w:p>
    <w:p>
      <w:pPr>
        <w:pStyle w:val="2"/>
        <w:bidi w:val="0"/>
        <w:rPr>
          <w:rFonts w:hint="eastAsia" w:ascii="方正仿宋_GBK" w:hAnsi="方正仿宋_GBK" w:eastAsia="方正仿宋_GBK" w:cs="方正仿宋_GBK"/>
          <w:color w:val="auto"/>
          <w:highlight w:val="none"/>
        </w:rPr>
      </w:pPr>
      <w:bookmarkStart w:id="24" w:name="_Toc9914"/>
      <w:r>
        <w:rPr>
          <w:rFonts w:hint="eastAsia" w:ascii="方正仿宋_GBK" w:hAnsi="方正仿宋_GBK" w:eastAsia="方正仿宋_GBK" w:cs="方正仿宋_GBK"/>
          <w:color w:val="auto"/>
          <w:highlight w:val="none"/>
        </w:rPr>
        <w:t>（二）存在问题及原因分析</w:t>
      </w:r>
      <w:bookmarkEnd w:id="24"/>
    </w:p>
    <w:p>
      <w:pPr>
        <w:bidi w:val="0"/>
        <w:rPr>
          <w:rFonts w:hint="eastAsia" w:ascii="方正仿宋_GBK" w:hAnsi="方正仿宋_GBK" w:eastAsia="方正仿宋_GBK" w:cs="方正仿宋_GBK"/>
          <w:color w:val="auto"/>
          <w:highlight w:val="none"/>
        </w:rPr>
      </w:pPr>
      <w:r>
        <w:rPr>
          <w:rFonts w:hint="eastAsia" w:ascii="Times New Roman" w:hAnsi="Times New Roman" w:eastAsia="方正仿宋_GBK" w:cs="方正仿宋_GBK"/>
          <w:color w:val="auto"/>
          <w:highlight w:val="none"/>
        </w:rPr>
        <w:t>1</w:t>
      </w:r>
      <w:r>
        <w:rPr>
          <w:rFonts w:hint="eastAsia" w:ascii="方正仿宋_GBK" w:hAnsi="方正仿宋_GBK" w:eastAsia="方正仿宋_GBK" w:cs="方正仿宋_GBK"/>
          <w:color w:val="auto"/>
          <w:highlight w:val="none"/>
        </w:rPr>
        <w:t>、绩效管理体系需要逐渐健全。首先，需要进一步完善</w:t>
      </w:r>
      <w:r>
        <w:rPr>
          <w:rFonts w:hint="eastAsia" w:ascii="方正仿宋_GBK" w:hAnsi="方正仿宋_GBK" w:eastAsia="方正仿宋_GBK" w:cs="方正仿宋_GBK"/>
          <w:color w:val="auto"/>
          <w:highlight w:val="none"/>
          <w:lang w:val="en-US" w:eastAsia="zh-CN"/>
        </w:rPr>
        <w:t>单位内部</w:t>
      </w:r>
      <w:r>
        <w:rPr>
          <w:rFonts w:hint="eastAsia" w:ascii="方正仿宋_GBK" w:hAnsi="方正仿宋_GBK" w:eastAsia="方正仿宋_GBK" w:cs="方正仿宋_GBK"/>
          <w:color w:val="auto"/>
          <w:highlight w:val="none"/>
        </w:rPr>
        <w:t>预算绩效管理制度，为单位预算绩效管理工作提供强有力的制度保障；其次，需要进一步建立健全</w:t>
      </w:r>
      <w:r>
        <w:rPr>
          <w:rFonts w:hint="eastAsia" w:ascii="方正仿宋_GBK" w:hAnsi="方正仿宋_GBK" w:eastAsia="方正仿宋_GBK" w:cs="方正仿宋_GBK"/>
          <w:color w:val="auto"/>
          <w:highlight w:val="none"/>
          <w:lang w:val="en-US" w:eastAsia="zh-CN"/>
        </w:rPr>
        <w:t>本单位</w:t>
      </w:r>
      <w:r>
        <w:rPr>
          <w:rFonts w:hint="eastAsia" w:ascii="方正仿宋_GBK" w:hAnsi="方正仿宋_GBK" w:eastAsia="方正仿宋_GBK" w:cs="方正仿宋_GBK"/>
          <w:color w:val="auto"/>
          <w:highlight w:val="none"/>
        </w:rPr>
        <w:t>绩效评价指标体系，对个性化指标进行不断优化调整。</w:t>
      </w:r>
    </w:p>
    <w:p>
      <w:pPr>
        <w:bidi w:val="0"/>
        <w:rPr>
          <w:rFonts w:hint="eastAsia" w:ascii="方正仿宋_GBK" w:hAnsi="方正仿宋_GBK" w:eastAsia="方正仿宋_GBK" w:cs="方正仿宋_GBK"/>
          <w:color w:val="auto"/>
          <w:highlight w:val="none"/>
        </w:rPr>
      </w:pPr>
      <w:r>
        <w:rPr>
          <w:rFonts w:hint="eastAsia" w:ascii="Times New Roman" w:hAnsi="Times New Roman" w:eastAsia="方正仿宋_GBK" w:cs="方正仿宋_GBK"/>
          <w:color w:val="auto"/>
          <w:highlight w:val="none"/>
        </w:rPr>
        <w:t>2</w:t>
      </w:r>
      <w:r>
        <w:rPr>
          <w:rFonts w:hint="eastAsia" w:ascii="方正仿宋_GBK" w:hAnsi="方正仿宋_GBK" w:eastAsia="方正仿宋_GBK" w:cs="方正仿宋_GBK"/>
          <w:color w:val="auto"/>
          <w:highlight w:val="none"/>
        </w:rPr>
        <w:t>、具体项目实施的</w:t>
      </w:r>
      <w:r>
        <w:rPr>
          <w:rFonts w:hint="eastAsia" w:ascii="方正仿宋_GBK" w:hAnsi="方正仿宋_GBK" w:eastAsia="方正仿宋_GBK" w:cs="方正仿宋_GBK"/>
          <w:color w:val="auto"/>
          <w:highlight w:val="none"/>
          <w:lang w:val="en-US" w:eastAsia="zh-CN"/>
        </w:rPr>
        <w:t>科（股）室</w:t>
      </w:r>
      <w:r>
        <w:rPr>
          <w:rFonts w:hint="eastAsia" w:ascii="方正仿宋_GBK" w:hAnsi="方正仿宋_GBK" w:eastAsia="方正仿宋_GBK" w:cs="方正仿宋_GBK"/>
          <w:color w:val="auto"/>
          <w:highlight w:val="none"/>
        </w:rPr>
        <w:t>对项目绩效管理认识不足。</w:t>
      </w:r>
      <w:r>
        <w:rPr>
          <w:rFonts w:hint="eastAsia" w:ascii="方正仿宋_GBK" w:hAnsi="方正仿宋_GBK" w:eastAsia="方正仿宋_GBK" w:cs="方正仿宋_GBK"/>
          <w:color w:val="auto"/>
          <w:highlight w:val="none"/>
          <w:lang w:val="en-US" w:eastAsia="zh-CN"/>
        </w:rPr>
        <w:t>部分</w:t>
      </w:r>
      <w:r>
        <w:rPr>
          <w:rFonts w:hint="eastAsia" w:ascii="方正仿宋_GBK" w:hAnsi="方正仿宋_GBK" w:eastAsia="方正仿宋_GBK" w:cs="方正仿宋_GBK"/>
          <w:color w:val="auto"/>
          <w:highlight w:val="none"/>
        </w:rPr>
        <w:t>实施</w:t>
      </w:r>
      <w:r>
        <w:rPr>
          <w:rFonts w:hint="eastAsia" w:ascii="方正仿宋_GBK" w:hAnsi="方正仿宋_GBK" w:eastAsia="方正仿宋_GBK" w:cs="方正仿宋_GBK"/>
          <w:color w:val="auto"/>
          <w:highlight w:val="none"/>
          <w:lang w:val="en-US" w:eastAsia="zh-CN"/>
        </w:rPr>
        <w:t>项目</w:t>
      </w:r>
      <w:r>
        <w:rPr>
          <w:rFonts w:hint="eastAsia" w:ascii="方正仿宋_GBK" w:hAnsi="方正仿宋_GBK" w:eastAsia="方正仿宋_GBK" w:cs="方正仿宋_GBK"/>
          <w:color w:val="auto"/>
          <w:highlight w:val="none"/>
        </w:rPr>
        <w:t>的</w:t>
      </w:r>
      <w:r>
        <w:rPr>
          <w:rFonts w:hint="eastAsia" w:ascii="方正仿宋_GBK" w:hAnsi="方正仿宋_GBK" w:eastAsia="方正仿宋_GBK" w:cs="方正仿宋_GBK"/>
          <w:color w:val="auto"/>
          <w:highlight w:val="none"/>
          <w:lang w:val="en-US" w:eastAsia="zh-CN"/>
        </w:rPr>
        <w:t>科室</w:t>
      </w:r>
      <w:r>
        <w:rPr>
          <w:rFonts w:hint="eastAsia" w:ascii="方正仿宋_GBK" w:hAnsi="方正仿宋_GBK" w:eastAsia="方正仿宋_GBK" w:cs="方正仿宋_GBK"/>
          <w:color w:val="auto"/>
          <w:highlight w:val="none"/>
        </w:rPr>
        <w:t>对项目绩效的参与度不高、认识不到位。</w:t>
      </w:r>
    </w:p>
    <w:p>
      <w:pPr>
        <w:pStyle w:val="4"/>
        <w:bidi w:val="0"/>
        <w:rPr>
          <w:rFonts w:hint="eastAsia" w:ascii="方正仿宋_GBK" w:hAnsi="方正仿宋_GBK" w:eastAsia="方正仿宋_GBK" w:cs="方正仿宋_GBK"/>
          <w:color w:val="auto"/>
          <w:highlight w:val="none"/>
        </w:rPr>
      </w:pPr>
      <w:bookmarkStart w:id="25" w:name="_Toc2334"/>
      <w:r>
        <w:rPr>
          <w:rFonts w:hint="eastAsia" w:ascii="方正仿宋_GBK" w:hAnsi="方正仿宋_GBK" w:eastAsia="方正仿宋_GBK" w:cs="方正仿宋_GBK"/>
          <w:color w:val="auto"/>
          <w:highlight w:val="none"/>
        </w:rPr>
        <w:t>六、有关建议</w:t>
      </w:r>
      <w:bookmarkEnd w:id="25"/>
    </w:p>
    <w:p>
      <w:pPr>
        <w:bidi w:val="0"/>
        <w:rPr>
          <w:rFonts w:hint="eastAsia" w:ascii="方正仿宋_GBK" w:hAnsi="方正仿宋_GBK" w:eastAsia="方正仿宋_GBK" w:cs="方正仿宋_GBK"/>
          <w:color w:val="auto"/>
          <w:highlight w:val="none"/>
        </w:rPr>
      </w:pPr>
      <w:r>
        <w:rPr>
          <w:rFonts w:hint="eastAsia" w:ascii="Times New Roman" w:hAnsi="Times New Roman" w:eastAsia="方正仿宋_GBK" w:cs="方正仿宋_GBK"/>
          <w:color w:val="auto"/>
          <w:highlight w:val="none"/>
        </w:rPr>
        <w:t>1</w:t>
      </w:r>
      <w:r>
        <w:rPr>
          <w:rFonts w:hint="eastAsia" w:ascii="方正仿宋_GBK" w:hAnsi="方正仿宋_GBK" w:eastAsia="方正仿宋_GBK" w:cs="方正仿宋_GBK"/>
          <w:color w:val="auto"/>
          <w:highlight w:val="none"/>
        </w:rPr>
        <w:t>、县</w:t>
      </w:r>
      <w:r>
        <w:rPr>
          <w:rFonts w:hint="eastAsia" w:ascii="方正仿宋_GBK" w:hAnsi="方正仿宋_GBK" w:eastAsia="方正仿宋_GBK" w:cs="方正仿宋_GBK"/>
          <w:color w:val="auto"/>
          <w:highlight w:val="none"/>
          <w:lang w:eastAsia="zh-CN"/>
        </w:rPr>
        <w:t>林草局</w:t>
      </w:r>
      <w:r>
        <w:rPr>
          <w:rFonts w:hint="eastAsia" w:ascii="方正仿宋_GBK" w:hAnsi="方正仿宋_GBK" w:eastAsia="方正仿宋_GBK" w:cs="方正仿宋_GBK"/>
          <w:color w:val="auto"/>
          <w:highlight w:val="none"/>
        </w:rPr>
        <w:t>将进一步完善</w:t>
      </w:r>
      <w:r>
        <w:rPr>
          <w:rFonts w:hint="eastAsia" w:ascii="方正仿宋_GBK" w:hAnsi="方正仿宋_GBK" w:eastAsia="方正仿宋_GBK" w:cs="方正仿宋_GBK"/>
          <w:color w:val="auto"/>
          <w:highlight w:val="none"/>
          <w:lang w:val="en-US" w:eastAsia="zh-CN"/>
        </w:rPr>
        <w:t>内部</w:t>
      </w:r>
      <w:r>
        <w:rPr>
          <w:rFonts w:hint="eastAsia" w:ascii="方正仿宋_GBK" w:hAnsi="方正仿宋_GBK" w:eastAsia="方正仿宋_GBK" w:cs="方正仿宋_GBK"/>
          <w:color w:val="auto"/>
          <w:highlight w:val="none"/>
        </w:rPr>
        <w:t>预算绩效管理机制、体制建设，加强对干部职工预算绩效管理知识的培训，树立干部职工预算绩效管理意识，针对预算绩效管理过程中存在的问题改进预算绩效管理工作，保证预算资金安全、高效使用。</w:t>
      </w:r>
    </w:p>
    <w:p>
      <w:pPr>
        <w:bidi w:val="0"/>
        <w:rPr>
          <w:rFonts w:hint="eastAsia" w:ascii="方正仿宋_GBK" w:hAnsi="方正仿宋_GBK" w:eastAsia="方正仿宋_GBK" w:cs="方正仿宋_GBK"/>
          <w:color w:val="auto"/>
          <w:highlight w:val="none"/>
        </w:rPr>
      </w:pPr>
      <w:r>
        <w:rPr>
          <w:rFonts w:hint="eastAsia" w:ascii="Times New Roman" w:hAnsi="Times New Roman" w:eastAsia="方正仿宋_GBK" w:cs="方正仿宋_GBK"/>
          <w:color w:val="auto"/>
          <w:highlight w:val="none"/>
        </w:rPr>
        <w:t>2</w:t>
      </w:r>
      <w:r>
        <w:rPr>
          <w:rFonts w:hint="eastAsia" w:ascii="方正仿宋_GBK" w:hAnsi="方正仿宋_GBK" w:eastAsia="方正仿宋_GBK" w:cs="方正仿宋_GBK"/>
          <w:color w:val="auto"/>
          <w:highlight w:val="none"/>
        </w:rPr>
        <w:t>、</w:t>
      </w:r>
      <w:r>
        <w:rPr>
          <w:rFonts w:hint="eastAsia" w:ascii="方正仿宋_GBK" w:hAnsi="方正仿宋_GBK" w:eastAsia="方正仿宋_GBK" w:cs="方正仿宋_GBK"/>
          <w:color w:val="auto"/>
          <w:highlight w:val="none"/>
          <w:lang w:eastAsia="zh-CN"/>
        </w:rPr>
        <w:t>县林草局</w:t>
      </w:r>
      <w:r>
        <w:rPr>
          <w:rFonts w:hint="eastAsia" w:ascii="方正仿宋_GBK" w:hAnsi="方正仿宋_GBK" w:eastAsia="方正仿宋_GBK" w:cs="方正仿宋_GBK"/>
          <w:color w:val="auto"/>
          <w:highlight w:val="none"/>
        </w:rPr>
        <w:t>在下一步的工作中将强化对</w:t>
      </w:r>
      <w:r>
        <w:rPr>
          <w:rFonts w:hint="eastAsia" w:ascii="方正仿宋_GBK" w:hAnsi="方正仿宋_GBK" w:eastAsia="方正仿宋_GBK" w:cs="方正仿宋_GBK"/>
          <w:color w:val="auto"/>
          <w:highlight w:val="none"/>
          <w:lang w:val="en-US" w:eastAsia="zh-CN"/>
        </w:rPr>
        <w:t>具体开展工作</w:t>
      </w:r>
      <w:r>
        <w:rPr>
          <w:rFonts w:hint="eastAsia" w:ascii="方正仿宋_GBK" w:hAnsi="方正仿宋_GBK" w:eastAsia="方正仿宋_GBK" w:cs="方正仿宋_GBK"/>
          <w:color w:val="auto"/>
          <w:highlight w:val="none"/>
        </w:rPr>
        <w:t>的</w:t>
      </w:r>
      <w:r>
        <w:rPr>
          <w:rFonts w:hint="eastAsia" w:ascii="方正仿宋_GBK" w:hAnsi="方正仿宋_GBK" w:eastAsia="方正仿宋_GBK" w:cs="方正仿宋_GBK"/>
          <w:color w:val="auto"/>
          <w:highlight w:val="none"/>
          <w:lang w:val="en-US" w:eastAsia="zh-CN"/>
        </w:rPr>
        <w:t>科室</w:t>
      </w:r>
      <w:r>
        <w:rPr>
          <w:rFonts w:hint="eastAsia" w:ascii="方正仿宋_GBK" w:hAnsi="方正仿宋_GBK" w:eastAsia="方正仿宋_GBK" w:cs="方正仿宋_GBK"/>
          <w:color w:val="auto"/>
          <w:highlight w:val="none"/>
        </w:rPr>
        <w:t>对项目绩效的参与度，切实强化项目绩效管理。</w:t>
      </w:r>
    </w:p>
    <w:p>
      <w:pPr>
        <w:pStyle w:val="4"/>
        <w:bidi w:val="0"/>
        <w:rPr>
          <w:rFonts w:hint="eastAsia" w:ascii="方正仿宋_GBK" w:hAnsi="方正仿宋_GBK" w:eastAsia="方正仿宋_GBK" w:cs="方正仿宋_GBK"/>
          <w:color w:val="auto"/>
          <w:highlight w:val="none"/>
        </w:rPr>
      </w:pPr>
      <w:bookmarkStart w:id="26" w:name="_Toc30571"/>
      <w:r>
        <w:rPr>
          <w:rFonts w:hint="eastAsia" w:ascii="方正仿宋_GBK" w:hAnsi="方正仿宋_GBK" w:eastAsia="方正仿宋_GBK" w:cs="方正仿宋_GBK"/>
          <w:color w:val="auto"/>
          <w:highlight w:val="none"/>
        </w:rPr>
        <w:t>七、其他需要说明的问题</w:t>
      </w:r>
      <w:bookmarkEnd w:id="26"/>
    </w:p>
    <w:p>
      <w:pPr>
        <w:bidi w:val="0"/>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无其他需要说明的问题。</w:t>
      </w:r>
    </w:p>
    <w:p>
      <w:pPr>
        <w:pStyle w:val="4"/>
        <w:bidi w:val="0"/>
        <w:rPr>
          <w:rFonts w:hint="eastAsia" w:ascii="方正仿宋_GBK" w:hAnsi="方正仿宋_GBK" w:eastAsia="方正仿宋_GBK" w:cs="方正仿宋_GBK"/>
          <w:color w:val="auto"/>
          <w:highlight w:val="none"/>
        </w:rPr>
      </w:pPr>
      <w:bookmarkStart w:id="27" w:name="_Toc10180"/>
      <w:r>
        <w:rPr>
          <w:rFonts w:hint="eastAsia" w:ascii="方正仿宋_GBK" w:hAnsi="方正仿宋_GBK" w:eastAsia="方正仿宋_GBK" w:cs="方正仿宋_GBK"/>
          <w:color w:val="auto"/>
          <w:highlight w:val="none"/>
        </w:rPr>
        <w:t>八、相关附件</w:t>
      </w:r>
      <w:bookmarkEnd w:id="27"/>
    </w:p>
    <w:p>
      <w:pPr>
        <w:bidi w:val="0"/>
        <w:rPr>
          <w:rFonts w:hint="eastAsia" w:ascii="方正仿宋_GBK" w:hAnsi="方正仿宋_GBK" w:eastAsia="方正仿宋_GBK" w:cs="方正仿宋_GBK"/>
          <w:color w:val="auto"/>
          <w:highlight w:val="none"/>
        </w:rPr>
      </w:pPr>
      <w:r>
        <w:rPr>
          <w:rFonts w:hint="eastAsia" w:ascii="Times New Roman" w:hAnsi="Times New Roman" w:eastAsia="方正仿宋_GBK" w:cs="方正仿宋_GBK"/>
          <w:color w:val="auto"/>
          <w:highlight w:val="none"/>
        </w:rPr>
        <w:t>1</w:t>
      </w:r>
      <w:r>
        <w:rPr>
          <w:rFonts w:hint="eastAsia" w:ascii="方正仿宋_GBK" w:hAnsi="方正仿宋_GBK" w:eastAsia="方正仿宋_GBK" w:cs="方正仿宋_GBK"/>
          <w:color w:val="auto"/>
          <w:highlight w:val="none"/>
        </w:rPr>
        <w:t>、项目支出绩效自评表</w:t>
      </w:r>
    </w:p>
    <w:p>
      <w:pPr>
        <w:bidi w:val="0"/>
        <w:rPr>
          <w:rFonts w:hint="eastAsia" w:ascii="方正仿宋_GBK" w:hAnsi="方正仿宋_GBK" w:eastAsia="方正仿宋_GBK" w:cs="方正仿宋_GBK"/>
          <w:color w:val="auto"/>
          <w:highlight w:val="none"/>
        </w:rPr>
      </w:pPr>
      <w:r>
        <w:rPr>
          <w:rFonts w:hint="eastAsia" w:ascii="Times New Roman" w:hAnsi="Times New Roman" w:eastAsia="方正仿宋_GBK" w:cs="方正仿宋_GBK"/>
          <w:color w:val="auto"/>
          <w:highlight w:val="none"/>
        </w:rPr>
        <w:t>2</w:t>
      </w:r>
      <w:r>
        <w:rPr>
          <w:rFonts w:hint="eastAsia" w:ascii="方正仿宋_GBK" w:hAnsi="方正仿宋_GBK" w:eastAsia="方正仿宋_GBK" w:cs="方正仿宋_GBK"/>
          <w:color w:val="auto"/>
          <w:highlight w:val="none"/>
        </w:rPr>
        <w:t>、评价指标体系及得分表</w:t>
      </w:r>
    </w:p>
    <w:p>
      <w:pPr>
        <w:ind w:firstLine="600"/>
        <w:rPr>
          <w:color w:val="auto"/>
          <w:sz w:val="30"/>
          <w:szCs w:val="30"/>
          <w:highlight w:val="none"/>
        </w:rPr>
      </w:pPr>
      <w:bookmarkStart w:id="28" w:name="_Toc1641"/>
      <w:bookmarkStart w:id="29" w:name="_Toc5134"/>
      <w:bookmarkStart w:id="30" w:name="_Toc28099"/>
      <w:r>
        <w:rPr>
          <w:color w:val="auto"/>
          <w:sz w:val="30"/>
          <w:szCs w:val="30"/>
          <w:highlight w:val="none"/>
        </w:rPr>
        <w:br w:type="page"/>
      </w:r>
    </w:p>
    <w:p>
      <w:pPr>
        <w:pStyle w:val="4"/>
        <w:bidi w:val="0"/>
        <w:ind w:left="0" w:leftChars="0" w:firstLine="0" w:firstLineChars="0"/>
        <w:rPr>
          <w:color w:val="auto"/>
          <w:sz w:val="24"/>
          <w:szCs w:val="18"/>
          <w:highlight w:val="none"/>
        </w:rPr>
      </w:pPr>
      <w:bookmarkStart w:id="31" w:name="_Toc18004"/>
      <w:bookmarkStart w:id="32" w:name="_Toc6652"/>
      <w:bookmarkStart w:id="33" w:name="_Toc12781"/>
      <w:bookmarkStart w:id="34" w:name="_Toc23301"/>
      <w:r>
        <w:rPr>
          <w:color w:val="auto"/>
          <w:sz w:val="24"/>
          <w:szCs w:val="18"/>
          <w:highlight w:val="none"/>
        </w:rPr>
        <w:t>附件</w:t>
      </w:r>
      <w:r>
        <w:rPr>
          <w:rFonts w:ascii="Times New Roman" w:hAnsi="Times New Roman"/>
          <w:color w:val="auto"/>
          <w:sz w:val="24"/>
          <w:szCs w:val="18"/>
          <w:highlight w:val="none"/>
        </w:rPr>
        <w:t>1</w:t>
      </w:r>
      <w:r>
        <w:rPr>
          <w:color w:val="auto"/>
          <w:sz w:val="24"/>
          <w:szCs w:val="18"/>
          <w:highlight w:val="none"/>
        </w:rPr>
        <w:t>：项目支出绩效自评表</w:t>
      </w:r>
      <w:bookmarkEnd w:id="31"/>
      <w:bookmarkEnd w:id="32"/>
      <w:bookmarkEnd w:id="33"/>
    </w:p>
    <w:p>
      <w:pPr>
        <w:pStyle w:val="4"/>
        <w:bidi w:val="0"/>
        <w:ind w:left="0" w:leftChars="0" w:firstLine="0" w:firstLineChars="0"/>
        <w:rPr>
          <w:rFonts w:hint="eastAsia" w:eastAsia="黑体"/>
          <w:color w:val="auto"/>
          <w:sz w:val="24"/>
          <w:szCs w:val="18"/>
          <w:highlight w:val="none"/>
          <w:lang w:eastAsia="zh-CN"/>
        </w:rPr>
      </w:pPr>
      <w:r>
        <w:rPr>
          <w:rFonts w:hint="eastAsia" w:eastAsia="黑体"/>
          <w:color w:val="auto"/>
          <w:sz w:val="24"/>
          <w:szCs w:val="18"/>
          <w:highlight w:val="none"/>
          <w:lang w:eastAsia="zh-CN"/>
        </w:rPr>
        <w:pict>
          <v:shape id="_x0000_s2050" o:spid="_x0000_s2050" o:spt="75" type="#_x0000_t75" style="position:absolute;left:0pt;margin-left:-7.55pt;margin-top:1.45pt;height:676.9pt;width:372.1pt;z-index:251660288;mso-width-relative:page;mso-height-relative:page;" o:ole="t" filled="f" o:preferrelative="t" stroked="f" coordsize="21600,21600">
            <v:path/>
            <v:fill on="f" focussize="0,0"/>
            <v:stroke on="f"/>
            <v:imagedata r:id="rId6" o:title=""/>
            <o:lock v:ext="edit" aspectratio="t"/>
          </v:shape>
          <o:OLEObject Type="Embed" ProgID="Excel.Sheet.8" ShapeID="_x0000_s2050" DrawAspect="Content" ObjectID="_1468075725" r:id="rId5">
            <o:LockedField>false</o:LockedField>
          </o:OLEObject>
        </w:pict>
      </w: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p>
    <w:p>
      <w:pPr>
        <w:pStyle w:val="4"/>
        <w:bidi w:val="0"/>
        <w:ind w:left="0" w:leftChars="0" w:firstLine="0" w:firstLineChars="0"/>
        <w:rPr>
          <w:color w:val="auto"/>
          <w:sz w:val="24"/>
          <w:szCs w:val="18"/>
          <w:highlight w:val="none"/>
        </w:rPr>
      </w:pPr>
      <w:r>
        <w:rPr>
          <w:color w:val="auto"/>
          <w:sz w:val="24"/>
          <w:szCs w:val="18"/>
          <w:highlight w:val="none"/>
        </w:rPr>
        <w:t>附件</w:t>
      </w:r>
      <w:r>
        <w:rPr>
          <w:rFonts w:hint="eastAsia" w:ascii="Times New Roman" w:hAnsi="Times New Roman"/>
          <w:color w:val="auto"/>
          <w:sz w:val="24"/>
          <w:szCs w:val="18"/>
          <w:highlight w:val="none"/>
        </w:rPr>
        <w:t>2</w:t>
      </w:r>
      <w:r>
        <w:rPr>
          <w:color w:val="auto"/>
          <w:sz w:val="24"/>
          <w:szCs w:val="18"/>
          <w:highlight w:val="none"/>
        </w:rPr>
        <w:t>：项目支出绩效评价指标体系及评分</w:t>
      </w:r>
      <w:bookmarkEnd w:id="28"/>
      <w:bookmarkEnd w:id="29"/>
      <w:bookmarkEnd w:id="30"/>
      <w:bookmarkEnd w:id="34"/>
    </w:p>
    <w:p>
      <w:pPr>
        <w:pStyle w:val="12"/>
        <w:bidi w:val="0"/>
        <w:rPr>
          <w:color w:val="auto"/>
          <w:highlight w:val="none"/>
        </w:rPr>
      </w:pPr>
      <w:r>
        <w:rPr>
          <w:color w:val="auto"/>
          <w:highlight w:val="none"/>
        </w:rPr>
        <w:t>项目支出绩效评价指标体系及评分</w:t>
      </w:r>
    </w:p>
    <w:tbl>
      <w:tblPr>
        <w:tblStyle w:val="10"/>
        <w:tblpPr w:leftFromText="180" w:rightFromText="180" w:vertAnchor="text" w:horzAnchor="page" w:tblpX="1789" w:tblpY="180"/>
        <w:tblOverlap w:val="never"/>
        <w:tblW w:w="8403" w:type="dxa"/>
        <w:tblInd w:w="0" w:type="dxa"/>
        <w:tblLayout w:type="fixed"/>
        <w:tblCellMar>
          <w:top w:w="0" w:type="dxa"/>
          <w:left w:w="108" w:type="dxa"/>
          <w:bottom w:w="0" w:type="dxa"/>
          <w:right w:w="108" w:type="dxa"/>
        </w:tblCellMar>
      </w:tblPr>
      <w:tblGrid>
        <w:gridCol w:w="591"/>
        <w:gridCol w:w="766"/>
        <w:gridCol w:w="911"/>
        <w:gridCol w:w="1674"/>
        <w:gridCol w:w="3399"/>
        <w:gridCol w:w="531"/>
        <w:gridCol w:w="531"/>
      </w:tblGrid>
      <w:tr>
        <w:tblPrEx>
          <w:tblCellMar>
            <w:top w:w="0" w:type="dxa"/>
            <w:left w:w="108" w:type="dxa"/>
            <w:bottom w:w="0" w:type="dxa"/>
            <w:right w:w="108" w:type="dxa"/>
          </w:tblCellMar>
        </w:tblPrEx>
        <w:trPr>
          <w:trHeight w:val="460" w:hRule="atLeast"/>
        </w:trPr>
        <w:tc>
          <w:tcPr>
            <w:tcW w:w="5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一级指标</w:t>
            </w:r>
          </w:p>
        </w:tc>
        <w:tc>
          <w:tcPr>
            <w:tcW w:w="7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二级指标</w:t>
            </w: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三级指标</w:t>
            </w:r>
          </w:p>
        </w:tc>
        <w:tc>
          <w:tcPr>
            <w:tcW w:w="1674" w:type="dxa"/>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指标解释</w:t>
            </w:r>
          </w:p>
        </w:tc>
        <w:tc>
          <w:tcPr>
            <w:tcW w:w="33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指标说明</w:t>
            </w:r>
          </w:p>
        </w:tc>
        <w:tc>
          <w:tcPr>
            <w:tcW w:w="5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分值</w:t>
            </w:r>
          </w:p>
        </w:tc>
        <w:tc>
          <w:tcPr>
            <w:tcW w:w="5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rFonts w:hint="eastAsia"/>
                <w:color w:val="auto"/>
                <w:highlight w:val="none"/>
              </w:rPr>
              <w:t>得分</w:t>
            </w:r>
          </w:p>
        </w:tc>
      </w:tr>
      <w:tr>
        <w:tblPrEx>
          <w:tblCellMar>
            <w:top w:w="0" w:type="dxa"/>
            <w:left w:w="108" w:type="dxa"/>
            <w:bottom w:w="0" w:type="dxa"/>
            <w:right w:w="108" w:type="dxa"/>
          </w:tblCellMar>
        </w:tblPrEx>
        <w:trPr>
          <w:trHeight w:val="460" w:hRule="atLeast"/>
        </w:trPr>
        <w:tc>
          <w:tcPr>
            <w:tcW w:w="59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决策</w:t>
            </w:r>
          </w:p>
        </w:tc>
        <w:tc>
          <w:tcPr>
            <w:tcW w:w="76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项目</w:t>
            </w:r>
            <w:r>
              <w:rPr>
                <w:rFonts w:hint="eastAsia"/>
                <w:color w:val="auto"/>
                <w:highlight w:val="none"/>
              </w:rPr>
              <w:t>实施</w:t>
            </w:r>
          </w:p>
        </w:tc>
        <w:tc>
          <w:tcPr>
            <w:tcW w:w="91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rFonts w:hint="eastAsia"/>
                <w:color w:val="auto"/>
                <w:highlight w:val="none"/>
              </w:rPr>
              <w:t>实施</w:t>
            </w:r>
            <w:r>
              <w:rPr>
                <w:color w:val="auto"/>
                <w:highlight w:val="none"/>
              </w:rPr>
              <w:t>依据充分性</w:t>
            </w:r>
          </w:p>
        </w:tc>
        <w:tc>
          <w:tcPr>
            <w:tcW w:w="1674" w:type="dxa"/>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w:t>
            </w:r>
            <w:r>
              <w:rPr>
                <w:rFonts w:hint="eastAsia"/>
                <w:color w:val="auto"/>
                <w:highlight w:val="none"/>
              </w:rPr>
              <w:t>实施</w:t>
            </w:r>
            <w:r>
              <w:rPr>
                <w:color w:val="auto"/>
                <w:highlight w:val="none"/>
              </w:rPr>
              <w:t>是否符合法律法规、相关政策、发展规划以及部门职责，用以反映和考核项目</w:t>
            </w:r>
            <w:r>
              <w:rPr>
                <w:rFonts w:hint="eastAsia"/>
                <w:color w:val="auto"/>
                <w:highlight w:val="none"/>
              </w:rPr>
              <w:t>实施</w:t>
            </w:r>
            <w:r>
              <w:rPr>
                <w:color w:val="auto"/>
                <w:highlight w:val="none"/>
              </w:rPr>
              <w:t>依据情况。</w:t>
            </w: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评价要点：</w:t>
            </w:r>
          </w:p>
        </w:tc>
        <w:tc>
          <w:tcPr>
            <w:tcW w:w="531" w:type="dxa"/>
            <w:vMerge w:val="restart"/>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r>
              <w:rPr>
                <w:color w:val="auto"/>
                <w:highlight w:val="none"/>
              </w:rPr>
              <w:t>3</w:t>
            </w:r>
          </w:p>
        </w:tc>
        <w:tc>
          <w:tcPr>
            <w:tcW w:w="531" w:type="dxa"/>
            <w:vMerge w:val="restart"/>
            <w:tcBorders>
              <w:top w:val="single" w:color="000000" w:sz="4" w:space="0"/>
              <w:left w:val="single" w:color="000000" w:sz="4" w:space="0"/>
              <w:right w:val="single" w:color="000000" w:sz="4" w:space="0"/>
            </w:tcBorders>
            <w:vAlign w:val="center"/>
          </w:tcPr>
          <w:p>
            <w:pPr>
              <w:pStyle w:val="13"/>
              <w:bidi w:val="0"/>
              <w:rPr>
                <w:color w:val="auto"/>
                <w:highlight w:val="none"/>
              </w:rPr>
            </w:pPr>
            <w:r>
              <w:rPr>
                <w:rFonts w:hint="eastAsia"/>
                <w:color w:val="auto"/>
                <w:highlight w:val="none"/>
              </w:rPr>
              <w:t>3</w:t>
            </w: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①项目</w:t>
            </w:r>
            <w:r>
              <w:rPr>
                <w:rFonts w:hint="eastAsia"/>
                <w:color w:val="auto"/>
                <w:highlight w:val="none"/>
              </w:rPr>
              <w:t>实施</w:t>
            </w:r>
            <w:r>
              <w:rPr>
                <w:color w:val="auto"/>
                <w:highlight w:val="none"/>
              </w:rPr>
              <w:t>是否符合国家法律法规、国民经济发展规划和相关政策；</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②项目</w:t>
            </w:r>
            <w:r>
              <w:rPr>
                <w:rFonts w:hint="eastAsia"/>
                <w:color w:val="auto"/>
                <w:highlight w:val="none"/>
              </w:rPr>
              <w:t>实施</w:t>
            </w:r>
            <w:r>
              <w:rPr>
                <w:color w:val="auto"/>
                <w:highlight w:val="none"/>
              </w:rPr>
              <w:t>是否符合行业发展规划和政策要求；</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③项目</w:t>
            </w:r>
            <w:r>
              <w:rPr>
                <w:rFonts w:hint="eastAsia"/>
                <w:color w:val="auto"/>
                <w:highlight w:val="none"/>
              </w:rPr>
              <w:t>实施</w:t>
            </w:r>
            <w:r>
              <w:rPr>
                <w:color w:val="auto"/>
                <w:highlight w:val="none"/>
              </w:rPr>
              <w:t>是否与部门职责范围相符，属于部门履职所需；</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④项目是否属于公共财政支持范围，是否符合中央、地方事权支出责任划分原则；</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⑤项目是否与相关部门同类项目或部门内部相关项目重复。</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bottom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rFonts w:hint="eastAsia"/>
                <w:color w:val="auto"/>
                <w:highlight w:val="none"/>
              </w:rPr>
              <w:t>实施</w:t>
            </w:r>
            <w:r>
              <w:rPr>
                <w:color w:val="auto"/>
                <w:highlight w:val="none"/>
              </w:rPr>
              <w:t>程序规范性</w:t>
            </w:r>
          </w:p>
        </w:tc>
        <w:tc>
          <w:tcPr>
            <w:tcW w:w="1674" w:type="dxa"/>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项目申请、设立过程是否符合相关要求，用以反映和考核项目</w:t>
            </w:r>
            <w:r>
              <w:rPr>
                <w:rFonts w:hint="eastAsia"/>
                <w:color w:val="auto"/>
                <w:highlight w:val="none"/>
              </w:rPr>
              <w:t>实施</w:t>
            </w:r>
            <w:r>
              <w:rPr>
                <w:color w:val="auto"/>
                <w:highlight w:val="none"/>
              </w:rPr>
              <w:t>的规范情况。</w:t>
            </w:r>
          </w:p>
        </w:tc>
        <w:tc>
          <w:tcPr>
            <w:tcW w:w="3399" w:type="dxa"/>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评价要点：</w:t>
            </w:r>
          </w:p>
        </w:tc>
        <w:tc>
          <w:tcPr>
            <w:tcW w:w="531" w:type="dxa"/>
            <w:vMerge w:val="restart"/>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r>
              <w:rPr>
                <w:color w:val="auto"/>
                <w:highlight w:val="none"/>
              </w:rPr>
              <w:t>3</w:t>
            </w:r>
          </w:p>
        </w:tc>
        <w:tc>
          <w:tcPr>
            <w:tcW w:w="531" w:type="dxa"/>
            <w:vMerge w:val="restart"/>
            <w:tcBorders>
              <w:top w:val="single" w:color="000000" w:sz="4" w:space="0"/>
              <w:left w:val="single" w:color="000000" w:sz="4" w:space="0"/>
              <w:right w:val="single" w:color="000000" w:sz="4" w:space="0"/>
            </w:tcBorders>
            <w:vAlign w:val="center"/>
          </w:tcPr>
          <w:p>
            <w:pPr>
              <w:pStyle w:val="13"/>
              <w:bidi w:val="0"/>
              <w:rPr>
                <w:color w:val="auto"/>
                <w:highlight w:val="none"/>
              </w:rPr>
            </w:pPr>
            <w:r>
              <w:rPr>
                <w:rFonts w:hint="eastAsia"/>
                <w:color w:val="auto"/>
                <w:highlight w:val="none"/>
              </w:rPr>
              <w:t>3</w:t>
            </w: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①项目是否按照规定的程序申请设立；</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②审批文件、材料是否符合相关要求；</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bottom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绩效目标</w:t>
            </w:r>
          </w:p>
        </w:tc>
        <w:tc>
          <w:tcPr>
            <w:tcW w:w="91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绩效目标合理性</w:t>
            </w:r>
          </w:p>
        </w:tc>
        <w:tc>
          <w:tcPr>
            <w:tcW w:w="1674" w:type="dxa"/>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项目所设定的绩效目标是否依据充分，是否符合客观实际，用以反映和考核项目绩效目标与项目实施的相符情况。</w:t>
            </w:r>
          </w:p>
        </w:tc>
        <w:tc>
          <w:tcPr>
            <w:tcW w:w="3399" w:type="dxa"/>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评价要点：</w:t>
            </w:r>
          </w:p>
        </w:tc>
        <w:tc>
          <w:tcPr>
            <w:tcW w:w="531" w:type="dxa"/>
            <w:vMerge w:val="restart"/>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r>
              <w:rPr>
                <w:color w:val="auto"/>
                <w:highlight w:val="none"/>
              </w:rPr>
              <w:t>4</w:t>
            </w:r>
          </w:p>
        </w:tc>
        <w:tc>
          <w:tcPr>
            <w:tcW w:w="531" w:type="dxa"/>
            <w:vMerge w:val="restart"/>
            <w:tcBorders>
              <w:top w:val="single" w:color="000000" w:sz="4" w:space="0"/>
              <w:left w:val="single" w:color="000000" w:sz="4" w:space="0"/>
              <w:right w:val="single" w:color="000000" w:sz="4" w:space="0"/>
            </w:tcBorders>
            <w:vAlign w:val="center"/>
          </w:tcPr>
          <w:p>
            <w:pPr>
              <w:pStyle w:val="13"/>
              <w:bidi w:val="0"/>
              <w:rPr>
                <w:color w:val="auto"/>
                <w:highlight w:val="none"/>
              </w:rPr>
            </w:pPr>
            <w:r>
              <w:rPr>
                <w:rFonts w:hint="eastAsia"/>
                <w:color w:val="auto"/>
                <w:highlight w:val="none"/>
              </w:rPr>
              <w:t>4</w:t>
            </w: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①项目是否有绩效目标；</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②项目绩效目标与实际工作内容是否具有相关性；</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③项目预期产出效益和效果是否符合正常的业绩水平；</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④是否与预算确定的项目投资额或资金量相匹配。</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bottom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绩效指标明确性</w:t>
            </w:r>
          </w:p>
        </w:tc>
        <w:tc>
          <w:tcPr>
            <w:tcW w:w="1674" w:type="dxa"/>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依据绩效目标设定的绩效指标是否清晰、细化、可衡量等，用以反映和考核项目绩效目标的明细化情况。</w:t>
            </w:r>
          </w:p>
        </w:tc>
        <w:tc>
          <w:tcPr>
            <w:tcW w:w="3399" w:type="dxa"/>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评价要点：</w:t>
            </w:r>
          </w:p>
        </w:tc>
        <w:tc>
          <w:tcPr>
            <w:tcW w:w="531" w:type="dxa"/>
            <w:vMerge w:val="restart"/>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r>
              <w:rPr>
                <w:color w:val="auto"/>
                <w:highlight w:val="none"/>
              </w:rPr>
              <w:t>4</w:t>
            </w:r>
          </w:p>
        </w:tc>
        <w:tc>
          <w:tcPr>
            <w:tcW w:w="531" w:type="dxa"/>
            <w:vMerge w:val="restart"/>
            <w:tcBorders>
              <w:top w:val="single" w:color="000000" w:sz="4" w:space="0"/>
              <w:left w:val="single" w:color="000000" w:sz="4" w:space="0"/>
              <w:right w:val="single" w:color="000000" w:sz="4" w:space="0"/>
            </w:tcBorders>
            <w:vAlign w:val="center"/>
          </w:tcPr>
          <w:p>
            <w:pPr>
              <w:pStyle w:val="13"/>
              <w:bidi w:val="0"/>
              <w:rPr>
                <w:color w:val="auto"/>
                <w:highlight w:val="none"/>
              </w:rPr>
            </w:pPr>
            <w:r>
              <w:rPr>
                <w:rFonts w:hint="eastAsia"/>
                <w:color w:val="auto"/>
                <w:highlight w:val="none"/>
              </w:rPr>
              <w:t>4</w:t>
            </w: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①是否将项目绩效目标细化分解为具体的绩效指标；</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②是否通过清晰、可衡量的指标值予以体现；</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③是否与项目目标任务数或计划数相对应。</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bottom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资金投入</w:t>
            </w:r>
          </w:p>
        </w:tc>
        <w:tc>
          <w:tcPr>
            <w:tcW w:w="91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预算编制科学性</w:t>
            </w:r>
          </w:p>
        </w:tc>
        <w:tc>
          <w:tcPr>
            <w:tcW w:w="1674" w:type="dxa"/>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项目预算编制是否经过科学论证、有明确标准，资金额度与年度目标是否相适应，用以反映和考核项目预算编制的科学性、合理性情况。</w:t>
            </w:r>
          </w:p>
        </w:tc>
        <w:tc>
          <w:tcPr>
            <w:tcW w:w="3399" w:type="dxa"/>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评价要点：</w:t>
            </w:r>
          </w:p>
        </w:tc>
        <w:tc>
          <w:tcPr>
            <w:tcW w:w="531" w:type="dxa"/>
            <w:vMerge w:val="restart"/>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r>
              <w:rPr>
                <w:color w:val="auto"/>
                <w:highlight w:val="none"/>
              </w:rPr>
              <w:t>4</w:t>
            </w:r>
          </w:p>
        </w:tc>
        <w:tc>
          <w:tcPr>
            <w:tcW w:w="531" w:type="dxa"/>
            <w:vMerge w:val="restart"/>
            <w:tcBorders>
              <w:top w:val="single" w:color="000000" w:sz="4" w:space="0"/>
              <w:left w:val="single" w:color="000000" w:sz="4" w:space="0"/>
              <w:right w:val="single" w:color="000000" w:sz="4" w:space="0"/>
            </w:tcBorders>
            <w:vAlign w:val="center"/>
          </w:tcPr>
          <w:p>
            <w:pPr>
              <w:pStyle w:val="13"/>
              <w:bidi w:val="0"/>
              <w:rPr>
                <w:color w:val="auto"/>
                <w:highlight w:val="none"/>
              </w:rPr>
            </w:pPr>
            <w:r>
              <w:rPr>
                <w:rFonts w:hint="eastAsia"/>
                <w:color w:val="auto"/>
                <w:highlight w:val="none"/>
              </w:rPr>
              <w:t>4</w:t>
            </w: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①预算编制是否经过科学论证；</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②预算内容与项目内容是否匹配；</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③预算额度测算依据是否充分，是否按照标准编制；</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④预算确定的项目投资额或资金量是否与工作任务相匹配。</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bottom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资金分配合理性</w:t>
            </w:r>
          </w:p>
        </w:tc>
        <w:tc>
          <w:tcPr>
            <w:tcW w:w="1674" w:type="dxa"/>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项目预算资金分配是否有测算依据，与补助单位或地方实际是否相适应，用以反映和考核项目预算资金分配的科学性、合理性情况。</w:t>
            </w:r>
          </w:p>
        </w:tc>
        <w:tc>
          <w:tcPr>
            <w:tcW w:w="3399" w:type="dxa"/>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评价要点：</w:t>
            </w:r>
          </w:p>
        </w:tc>
        <w:tc>
          <w:tcPr>
            <w:tcW w:w="531" w:type="dxa"/>
            <w:vMerge w:val="restart"/>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r>
              <w:rPr>
                <w:color w:val="auto"/>
                <w:highlight w:val="none"/>
              </w:rPr>
              <w:t>4</w:t>
            </w:r>
          </w:p>
        </w:tc>
        <w:tc>
          <w:tcPr>
            <w:tcW w:w="531" w:type="dxa"/>
            <w:vMerge w:val="restart"/>
            <w:tcBorders>
              <w:top w:val="single" w:color="000000" w:sz="4" w:space="0"/>
              <w:left w:val="single" w:color="000000" w:sz="4" w:space="0"/>
              <w:right w:val="single" w:color="000000" w:sz="4" w:space="0"/>
            </w:tcBorders>
            <w:vAlign w:val="center"/>
          </w:tcPr>
          <w:p>
            <w:pPr>
              <w:pStyle w:val="13"/>
              <w:bidi w:val="0"/>
              <w:rPr>
                <w:color w:val="auto"/>
                <w:highlight w:val="none"/>
              </w:rPr>
            </w:pPr>
            <w:r>
              <w:rPr>
                <w:rFonts w:hint="eastAsia"/>
                <w:color w:val="auto"/>
                <w:highlight w:val="none"/>
              </w:rPr>
              <w:t>4</w:t>
            </w: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①预算资金分配依据是否充分；</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②资金分配额度是否合理，与</w:t>
            </w:r>
            <w:r>
              <w:rPr>
                <w:rFonts w:hint="eastAsia"/>
                <w:color w:val="auto"/>
                <w:highlight w:val="none"/>
              </w:rPr>
              <w:t>补助</w:t>
            </w:r>
            <w:r>
              <w:rPr>
                <w:color w:val="auto"/>
                <w:highlight w:val="none"/>
              </w:rPr>
              <w:t>项目单位或地方实际是否相适应。</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bottom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过程</w:t>
            </w:r>
          </w:p>
        </w:tc>
        <w:tc>
          <w:tcPr>
            <w:tcW w:w="76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资金管理</w:t>
            </w:r>
          </w:p>
        </w:tc>
        <w:tc>
          <w:tcPr>
            <w:tcW w:w="91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资金到位率</w:t>
            </w:r>
          </w:p>
        </w:tc>
        <w:tc>
          <w:tcPr>
            <w:tcW w:w="1674" w:type="dxa"/>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实际到位资金与预算资金的比率，用以反映和考核资金落实情况对项目实施的总体保障程度。</w:t>
            </w:r>
          </w:p>
        </w:tc>
        <w:tc>
          <w:tcPr>
            <w:tcW w:w="3399" w:type="dxa"/>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资金到位率=（实际到位资金/预算资金）×100%。</w:t>
            </w:r>
          </w:p>
        </w:tc>
        <w:tc>
          <w:tcPr>
            <w:tcW w:w="531" w:type="dxa"/>
            <w:vMerge w:val="restart"/>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r>
              <w:rPr>
                <w:color w:val="auto"/>
                <w:highlight w:val="none"/>
              </w:rPr>
              <w:t>4</w:t>
            </w:r>
          </w:p>
        </w:tc>
        <w:tc>
          <w:tcPr>
            <w:tcW w:w="531" w:type="dxa"/>
            <w:vMerge w:val="restart"/>
            <w:tcBorders>
              <w:top w:val="single" w:color="000000" w:sz="4" w:space="0"/>
              <w:left w:val="single" w:color="000000" w:sz="4" w:space="0"/>
              <w:right w:val="single" w:color="000000" w:sz="4" w:space="0"/>
            </w:tcBorders>
            <w:vAlign w:val="center"/>
          </w:tcPr>
          <w:p>
            <w:pPr>
              <w:pStyle w:val="13"/>
              <w:bidi w:val="0"/>
              <w:rPr>
                <w:color w:val="auto"/>
                <w:highlight w:val="none"/>
              </w:rPr>
            </w:pPr>
            <w:r>
              <w:rPr>
                <w:rFonts w:hint="eastAsia"/>
                <w:color w:val="auto"/>
                <w:highlight w:val="none"/>
              </w:rPr>
              <w:t>4</w:t>
            </w: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实际到位资金：一定时期（本年度或项目期）内落实到具体项目的资金。</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预算资金：一定时期（本年度或项目期）内预算安排到具体项目的资金。</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bottom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预算执行率</w:t>
            </w:r>
          </w:p>
        </w:tc>
        <w:tc>
          <w:tcPr>
            <w:tcW w:w="1674" w:type="dxa"/>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项目预算资金是否按照计划执行，用以反映或考核项目预算执行情况。</w:t>
            </w:r>
          </w:p>
        </w:tc>
        <w:tc>
          <w:tcPr>
            <w:tcW w:w="3399" w:type="dxa"/>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预算执行率=（实际支出资金/实际到位资金）×100%。</w:t>
            </w:r>
          </w:p>
        </w:tc>
        <w:tc>
          <w:tcPr>
            <w:tcW w:w="531" w:type="dxa"/>
            <w:vMerge w:val="restart"/>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r>
              <w:rPr>
                <w:color w:val="auto"/>
                <w:highlight w:val="none"/>
              </w:rPr>
              <w:t>4</w:t>
            </w:r>
          </w:p>
        </w:tc>
        <w:tc>
          <w:tcPr>
            <w:tcW w:w="531" w:type="dxa"/>
            <w:vMerge w:val="restart"/>
            <w:tcBorders>
              <w:top w:val="single" w:color="000000" w:sz="4" w:space="0"/>
              <w:left w:val="single" w:color="000000" w:sz="4" w:space="0"/>
              <w:right w:val="single" w:color="000000" w:sz="4" w:space="0"/>
            </w:tcBorders>
            <w:vAlign w:val="center"/>
          </w:tcPr>
          <w:p>
            <w:pPr>
              <w:pStyle w:val="13"/>
              <w:bidi w:val="0"/>
              <w:rPr>
                <w:color w:val="auto"/>
                <w:highlight w:val="none"/>
              </w:rPr>
            </w:pPr>
            <w:r>
              <w:rPr>
                <w:rFonts w:hint="eastAsia"/>
                <w:color w:val="auto"/>
                <w:highlight w:val="none"/>
              </w:rPr>
              <w:t>4</w:t>
            </w: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实际支出资金：一定时期（本年度或项目期）内项目实际拨付的资金。</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bottom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资金使用合规性</w:t>
            </w:r>
          </w:p>
        </w:tc>
        <w:tc>
          <w:tcPr>
            <w:tcW w:w="1674" w:type="dxa"/>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项目资金使用是否符合相关的财务管理制度规定，用以反映和考核项目资金的规范运行情况。</w:t>
            </w:r>
          </w:p>
        </w:tc>
        <w:tc>
          <w:tcPr>
            <w:tcW w:w="3399" w:type="dxa"/>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评价要点：</w:t>
            </w:r>
          </w:p>
        </w:tc>
        <w:tc>
          <w:tcPr>
            <w:tcW w:w="531" w:type="dxa"/>
            <w:vMerge w:val="restart"/>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r>
              <w:rPr>
                <w:color w:val="auto"/>
                <w:highlight w:val="none"/>
              </w:rPr>
              <w:t>4</w:t>
            </w:r>
          </w:p>
        </w:tc>
        <w:tc>
          <w:tcPr>
            <w:tcW w:w="531" w:type="dxa"/>
            <w:vMerge w:val="restart"/>
            <w:tcBorders>
              <w:top w:val="single" w:color="000000" w:sz="4" w:space="0"/>
              <w:left w:val="single" w:color="000000" w:sz="4" w:space="0"/>
              <w:right w:val="single" w:color="000000" w:sz="4" w:space="0"/>
            </w:tcBorders>
            <w:vAlign w:val="center"/>
          </w:tcPr>
          <w:p>
            <w:pPr>
              <w:pStyle w:val="13"/>
              <w:bidi w:val="0"/>
              <w:rPr>
                <w:color w:val="auto"/>
                <w:highlight w:val="none"/>
              </w:rPr>
            </w:pPr>
            <w:r>
              <w:rPr>
                <w:rFonts w:hint="eastAsia"/>
                <w:color w:val="auto"/>
                <w:highlight w:val="none"/>
              </w:rPr>
              <w:t>4</w:t>
            </w: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①是否符合国家财经法规和财务管理制度以及有关专项资金管理办法的规定；</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②资金的拨付是否有完整的审批程序和手续；</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③是否符合项目预算批复或合同规定的用途；</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④是否存在截留、挤占、挪用、虚列支出等情况。</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bottom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组织实施</w:t>
            </w:r>
          </w:p>
        </w:tc>
        <w:tc>
          <w:tcPr>
            <w:tcW w:w="91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管理制度健全性</w:t>
            </w:r>
          </w:p>
        </w:tc>
        <w:tc>
          <w:tcPr>
            <w:tcW w:w="1674" w:type="dxa"/>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项目实施单位的财务和业务管理制度是否健全，用以反映和考核财务和业务管理制度对项目顺利实施的保障情况。</w:t>
            </w:r>
          </w:p>
        </w:tc>
        <w:tc>
          <w:tcPr>
            <w:tcW w:w="3399" w:type="dxa"/>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评价要点：</w:t>
            </w:r>
          </w:p>
        </w:tc>
        <w:tc>
          <w:tcPr>
            <w:tcW w:w="531" w:type="dxa"/>
            <w:vMerge w:val="restart"/>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r>
              <w:rPr>
                <w:color w:val="auto"/>
                <w:highlight w:val="none"/>
              </w:rPr>
              <w:t>3</w:t>
            </w:r>
          </w:p>
        </w:tc>
        <w:tc>
          <w:tcPr>
            <w:tcW w:w="531" w:type="dxa"/>
            <w:vMerge w:val="restart"/>
            <w:tcBorders>
              <w:top w:val="single" w:color="000000" w:sz="4" w:space="0"/>
              <w:left w:val="single" w:color="000000" w:sz="4" w:space="0"/>
              <w:right w:val="single" w:color="000000" w:sz="4" w:space="0"/>
            </w:tcBorders>
            <w:vAlign w:val="center"/>
          </w:tcPr>
          <w:p>
            <w:pPr>
              <w:pStyle w:val="13"/>
              <w:bidi w:val="0"/>
              <w:rPr>
                <w:color w:val="auto"/>
                <w:highlight w:val="none"/>
              </w:rPr>
            </w:pPr>
            <w:r>
              <w:rPr>
                <w:rFonts w:hint="eastAsia"/>
                <w:color w:val="auto"/>
                <w:highlight w:val="none"/>
              </w:rPr>
              <w:t>3</w:t>
            </w: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①是否已制定或具有相应的财务和业务管理制度；</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②财务和业务管理制度是否合法、合规、完整。</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bottom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制度执行有效性</w:t>
            </w:r>
          </w:p>
        </w:tc>
        <w:tc>
          <w:tcPr>
            <w:tcW w:w="1674" w:type="dxa"/>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项目实施是否符合相关管理规定，用以反映和考核相关管理制度的有效执行情况。</w:t>
            </w:r>
          </w:p>
        </w:tc>
        <w:tc>
          <w:tcPr>
            <w:tcW w:w="3399" w:type="dxa"/>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评价要点：</w:t>
            </w:r>
          </w:p>
        </w:tc>
        <w:tc>
          <w:tcPr>
            <w:tcW w:w="531" w:type="dxa"/>
            <w:vMerge w:val="restart"/>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r>
              <w:rPr>
                <w:color w:val="auto"/>
                <w:highlight w:val="none"/>
              </w:rPr>
              <w:t>3</w:t>
            </w:r>
          </w:p>
        </w:tc>
        <w:tc>
          <w:tcPr>
            <w:tcW w:w="531" w:type="dxa"/>
            <w:vMerge w:val="restart"/>
            <w:tcBorders>
              <w:top w:val="single" w:color="000000" w:sz="4" w:space="0"/>
              <w:left w:val="single" w:color="000000" w:sz="4" w:space="0"/>
              <w:right w:val="single" w:color="000000" w:sz="4" w:space="0"/>
            </w:tcBorders>
            <w:vAlign w:val="center"/>
          </w:tcPr>
          <w:p>
            <w:pPr>
              <w:pStyle w:val="13"/>
              <w:bidi w:val="0"/>
              <w:rPr>
                <w:color w:val="auto"/>
                <w:highlight w:val="none"/>
              </w:rPr>
            </w:pPr>
            <w:r>
              <w:rPr>
                <w:rFonts w:hint="eastAsia"/>
                <w:color w:val="auto"/>
                <w:highlight w:val="none"/>
              </w:rPr>
              <w:t>3</w:t>
            </w: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①是否遵守相关法律法规和相关管理规定；</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②项目调整及支出调整手续是否完备；</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bottom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restart"/>
            <w:tcBorders>
              <w:top w:val="single" w:color="000000" w:sz="4" w:space="0"/>
              <w:left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产出</w:t>
            </w:r>
          </w:p>
        </w:tc>
        <w:tc>
          <w:tcPr>
            <w:tcW w:w="76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产出数量</w:t>
            </w:r>
          </w:p>
        </w:tc>
        <w:tc>
          <w:tcPr>
            <w:tcW w:w="91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实际完成率</w:t>
            </w:r>
          </w:p>
        </w:tc>
        <w:tc>
          <w:tcPr>
            <w:tcW w:w="1674" w:type="dxa"/>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项目实施的实际产出数与计划产出数的比率，用以反映和考核项目产出数量目标的实现程度。</w:t>
            </w:r>
          </w:p>
        </w:tc>
        <w:tc>
          <w:tcPr>
            <w:tcW w:w="3399" w:type="dxa"/>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实际完成率=（实际产出数/计划产出数）×100%。</w:t>
            </w:r>
          </w:p>
        </w:tc>
        <w:tc>
          <w:tcPr>
            <w:tcW w:w="531" w:type="dxa"/>
            <w:vMerge w:val="restart"/>
            <w:tcBorders>
              <w:top w:val="single" w:color="000000" w:sz="4" w:space="0"/>
              <w:left w:val="single" w:color="000000" w:sz="4" w:space="0"/>
              <w:bottom w:val="single" w:color="000000" w:sz="4" w:space="0"/>
              <w:right w:val="single" w:color="000000" w:sz="4" w:space="0"/>
            </w:tcBorders>
            <w:vAlign w:val="center"/>
          </w:tcPr>
          <w:p>
            <w:pPr>
              <w:pStyle w:val="13"/>
              <w:bidi w:val="0"/>
              <w:rPr>
                <w:rFonts w:hint="default" w:eastAsia="仿宋_GB2312"/>
                <w:color w:val="auto"/>
                <w:highlight w:val="none"/>
                <w:lang w:val="en-US" w:eastAsia="zh-CN"/>
              </w:rPr>
            </w:pPr>
            <w:r>
              <w:rPr>
                <w:rFonts w:hint="eastAsia"/>
                <w:color w:val="auto"/>
                <w:highlight w:val="none"/>
                <w:lang w:val="en-US" w:eastAsia="zh-CN"/>
              </w:rPr>
              <w:t>12</w:t>
            </w:r>
          </w:p>
        </w:tc>
        <w:tc>
          <w:tcPr>
            <w:tcW w:w="531" w:type="dxa"/>
            <w:vMerge w:val="restart"/>
            <w:tcBorders>
              <w:top w:val="single" w:color="000000" w:sz="4" w:space="0"/>
              <w:left w:val="single" w:color="000000" w:sz="4" w:space="0"/>
              <w:right w:val="single" w:color="000000" w:sz="4" w:space="0"/>
            </w:tcBorders>
            <w:vAlign w:val="center"/>
          </w:tcPr>
          <w:p>
            <w:pPr>
              <w:pStyle w:val="13"/>
              <w:bidi w:val="0"/>
              <w:rPr>
                <w:rFonts w:hint="default" w:eastAsia="仿宋_GB2312"/>
                <w:color w:val="auto"/>
                <w:highlight w:val="none"/>
                <w:lang w:val="en-US" w:eastAsia="zh-CN"/>
              </w:rPr>
            </w:pPr>
            <w:r>
              <w:rPr>
                <w:rFonts w:hint="eastAsia"/>
                <w:color w:val="auto"/>
                <w:highlight w:val="none"/>
                <w:lang w:val="en-US" w:eastAsia="zh-CN"/>
              </w:rPr>
              <w:t>12</w:t>
            </w:r>
          </w:p>
        </w:tc>
      </w:tr>
      <w:tr>
        <w:tblPrEx>
          <w:tblCellMar>
            <w:top w:w="0" w:type="dxa"/>
            <w:left w:w="108" w:type="dxa"/>
            <w:bottom w:w="0" w:type="dxa"/>
            <w:right w:w="108" w:type="dxa"/>
          </w:tblCellMar>
        </w:tblPrEx>
        <w:trPr>
          <w:trHeight w:val="460" w:hRule="atLeast"/>
        </w:trPr>
        <w:tc>
          <w:tcPr>
            <w:tcW w:w="591" w:type="dxa"/>
            <w:vMerge w:val="continue"/>
            <w:tcBorders>
              <w:left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实际产出数：一定时期（本年度或项目期）内项目实际产出的产品或提供的服务数量。</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left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计划产出数：项目绩效目标确定的在一定时期（本年度或项目期）内计划产出的产品或提供的服务数量。</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bottom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780" w:hRule="atLeast"/>
        </w:trPr>
        <w:tc>
          <w:tcPr>
            <w:tcW w:w="591" w:type="dxa"/>
            <w:vMerge w:val="continue"/>
            <w:tcBorders>
              <w:left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产出质量</w:t>
            </w:r>
          </w:p>
        </w:tc>
        <w:tc>
          <w:tcPr>
            <w:tcW w:w="91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质量达标率</w:t>
            </w:r>
          </w:p>
        </w:tc>
        <w:tc>
          <w:tcPr>
            <w:tcW w:w="1674" w:type="dxa"/>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项目完成的质量达标产出数与实际产出数的比率，用以反映和考核项目产出质量目标的实现程度。</w:t>
            </w:r>
          </w:p>
        </w:tc>
        <w:tc>
          <w:tcPr>
            <w:tcW w:w="3399" w:type="dxa"/>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质量达标率=（质量达标产出数/实际产出数）×100%。</w:t>
            </w:r>
          </w:p>
        </w:tc>
        <w:tc>
          <w:tcPr>
            <w:tcW w:w="531" w:type="dxa"/>
            <w:vMerge w:val="restart"/>
            <w:tcBorders>
              <w:top w:val="single" w:color="000000" w:sz="4" w:space="0"/>
              <w:left w:val="single" w:color="000000" w:sz="4" w:space="0"/>
              <w:bottom w:val="single" w:color="000000" w:sz="4" w:space="0"/>
              <w:right w:val="single" w:color="000000" w:sz="4" w:space="0"/>
            </w:tcBorders>
            <w:vAlign w:val="center"/>
          </w:tcPr>
          <w:p>
            <w:pPr>
              <w:pStyle w:val="13"/>
              <w:bidi w:val="0"/>
              <w:rPr>
                <w:rFonts w:hint="default" w:eastAsia="仿宋_GB2312"/>
                <w:color w:val="auto"/>
                <w:highlight w:val="none"/>
                <w:lang w:val="en-US" w:eastAsia="zh-CN"/>
              </w:rPr>
            </w:pPr>
            <w:r>
              <w:rPr>
                <w:rFonts w:hint="eastAsia"/>
                <w:color w:val="auto"/>
                <w:highlight w:val="none"/>
                <w:lang w:val="en-US" w:eastAsia="zh-CN"/>
              </w:rPr>
              <w:t>12</w:t>
            </w:r>
          </w:p>
        </w:tc>
        <w:tc>
          <w:tcPr>
            <w:tcW w:w="531" w:type="dxa"/>
            <w:vMerge w:val="restart"/>
            <w:tcBorders>
              <w:top w:val="single" w:color="000000" w:sz="4" w:space="0"/>
              <w:left w:val="single" w:color="000000" w:sz="4" w:space="0"/>
              <w:right w:val="single" w:color="000000" w:sz="4" w:space="0"/>
            </w:tcBorders>
            <w:vAlign w:val="center"/>
          </w:tcPr>
          <w:p>
            <w:pPr>
              <w:pStyle w:val="13"/>
              <w:bidi w:val="0"/>
              <w:rPr>
                <w:rFonts w:hint="default" w:eastAsia="仿宋_GB2312"/>
                <w:color w:val="auto"/>
                <w:highlight w:val="none"/>
                <w:lang w:val="en-US" w:eastAsia="zh-CN"/>
              </w:rPr>
            </w:pPr>
            <w:r>
              <w:rPr>
                <w:rFonts w:hint="eastAsia"/>
                <w:color w:val="auto"/>
                <w:highlight w:val="none"/>
                <w:lang w:val="en-US" w:eastAsia="zh-CN"/>
              </w:rPr>
              <w:t>12</w:t>
            </w:r>
          </w:p>
        </w:tc>
      </w:tr>
      <w:tr>
        <w:tblPrEx>
          <w:tblCellMar>
            <w:top w:w="0" w:type="dxa"/>
            <w:left w:w="108" w:type="dxa"/>
            <w:bottom w:w="0" w:type="dxa"/>
            <w:right w:w="108" w:type="dxa"/>
          </w:tblCellMar>
        </w:tblPrEx>
        <w:trPr>
          <w:trHeight w:val="880" w:hRule="atLeast"/>
        </w:trPr>
        <w:tc>
          <w:tcPr>
            <w:tcW w:w="591" w:type="dxa"/>
            <w:vMerge w:val="continue"/>
            <w:tcBorders>
              <w:left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bottom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591" w:type="dxa"/>
            <w:vMerge w:val="continue"/>
            <w:tcBorders>
              <w:left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产出时效</w:t>
            </w:r>
          </w:p>
        </w:tc>
        <w:tc>
          <w:tcPr>
            <w:tcW w:w="91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完成及时性</w:t>
            </w:r>
          </w:p>
        </w:tc>
        <w:tc>
          <w:tcPr>
            <w:tcW w:w="1674" w:type="dxa"/>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项目实际完成时间与计划完成时间的比较，用以反映和考核项目产出时效目标的实现程度。</w:t>
            </w:r>
          </w:p>
        </w:tc>
        <w:tc>
          <w:tcPr>
            <w:tcW w:w="3399" w:type="dxa"/>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实际完成时间：项目实施单位完成该项目实际所耗用的时间。</w:t>
            </w:r>
          </w:p>
        </w:tc>
        <w:tc>
          <w:tcPr>
            <w:tcW w:w="531" w:type="dxa"/>
            <w:vMerge w:val="restart"/>
            <w:tcBorders>
              <w:top w:val="single" w:color="000000" w:sz="4" w:space="0"/>
              <w:left w:val="single" w:color="000000" w:sz="4" w:space="0"/>
              <w:bottom w:val="single" w:color="000000" w:sz="4" w:space="0"/>
              <w:right w:val="single" w:color="000000" w:sz="4" w:space="0"/>
            </w:tcBorders>
            <w:vAlign w:val="center"/>
          </w:tcPr>
          <w:p>
            <w:pPr>
              <w:pStyle w:val="13"/>
              <w:bidi w:val="0"/>
              <w:rPr>
                <w:rFonts w:hint="eastAsia" w:eastAsia="仿宋_GB2312"/>
                <w:color w:val="auto"/>
                <w:highlight w:val="none"/>
                <w:lang w:eastAsia="zh-CN"/>
              </w:rPr>
            </w:pPr>
            <w:r>
              <w:rPr>
                <w:rFonts w:hint="eastAsia"/>
                <w:color w:val="auto"/>
                <w:highlight w:val="none"/>
                <w:lang w:val="en-US" w:eastAsia="zh-CN"/>
              </w:rPr>
              <w:t>8</w:t>
            </w:r>
          </w:p>
        </w:tc>
        <w:tc>
          <w:tcPr>
            <w:tcW w:w="531" w:type="dxa"/>
            <w:vMerge w:val="restart"/>
            <w:tcBorders>
              <w:top w:val="single" w:color="000000" w:sz="4" w:space="0"/>
              <w:left w:val="single" w:color="000000" w:sz="4" w:space="0"/>
              <w:right w:val="single" w:color="000000" w:sz="4" w:space="0"/>
            </w:tcBorders>
            <w:vAlign w:val="center"/>
          </w:tcPr>
          <w:p>
            <w:pPr>
              <w:pStyle w:val="13"/>
              <w:bidi w:val="0"/>
              <w:rPr>
                <w:rFonts w:hint="eastAsia" w:eastAsia="仿宋_GB2312"/>
                <w:color w:val="auto"/>
                <w:highlight w:val="none"/>
                <w:lang w:eastAsia="zh-CN"/>
              </w:rPr>
            </w:pPr>
            <w:r>
              <w:rPr>
                <w:rFonts w:hint="eastAsia"/>
                <w:color w:val="auto"/>
                <w:highlight w:val="none"/>
                <w:lang w:val="en-US" w:eastAsia="zh-CN"/>
              </w:rPr>
              <w:t>8</w:t>
            </w:r>
          </w:p>
        </w:tc>
      </w:tr>
      <w:tr>
        <w:tblPrEx>
          <w:tblCellMar>
            <w:top w:w="0" w:type="dxa"/>
            <w:left w:w="108" w:type="dxa"/>
            <w:bottom w:w="0" w:type="dxa"/>
            <w:right w:w="108" w:type="dxa"/>
          </w:tblCellMar>
        </w:tblPrEx>
        <w:trPr>
          <w:trHeight w:val="460" w:hRule="atLeast"/>
        </w:trPr>
        <w:tc>
          <w:tcPr>
            <w:tcW w:w="591" w:type="dxa"/>
            <w:vMerge w:val="continue"/>
            <w:tcBorders>
              <w:left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1674" w:type="dxa"/>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3399" w:type="dxa"/>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计划完成时间：按照项目实施计划或相关规定完成该项目所需的时间。</w:t>
            </w: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p>
        </w:tc>
        <w:tc>
          <w:tcPr>
            <w:tcW w:w="531" w:type="dxa"/>
            <w:vMerge w:val="continue"/>
            <w:tcBorders>
              <w:left w:val="single" w:color="000000" w:sz="4" w:space="0"/>
              <w:bottom w:val="single" w:color="000000" w:sz="4" w:space="0"/>
              <w:right w:val="single" w:color="000000" w:sz="4" w:space="0"/>
            </w:tcBorders>
            <w:vAlign w:val="center"/>
          </w:tcPr>
          <w:p>
            <w:pPr>
              <w:pStyle w:val="13"/>
              <w:bidi w:val="0"/>
              <w:rPr>
                <w:color w:val="auto"/>
                <w:highlight w:val="none"/>
              </w:rPr>
            </w:pPr>
          </w:p>
        </w:tc>
      </w:tr>
      <w:tr>
        <w:tblPrEx>
          <w:tblCellMar>
            <w:top w:w="0" w:type="dxa"/>
            <w:left w:w="108" w:type="dxa"/>
            <w:bottom w:w="0" w:type="dxa"/>
            <w:right w:w="108" w:type="dxa"/>
          </w:tblCellMar>
        </w:tblPrEx>
        <w:trPr>
          <w:trHeight w:val="457" w:hRule="atLeast"/>
        </w:trPr>
        <w:tc>
          <w:tcPr>
            <w:tcW w:w="591" w:type="dxa"/>
            <w:vMerge w:val="continue"/>
            <w:tcBorders>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仿宋_GB2312" w:cs="Times New Roman"/>
                <w:color w:val="auto"/>
                <w:kern w:val="44"/>
                <w:sz w:val="18"/>
                <w:szCs w:val="18"/>
                <w:highlight w:val="none"/>
                <w:lang w:val="en-US" w:eastAsia="zh-CN" w:bidi="ar-SA"/>
              </w:rPr>
            </w:pPr>
            <w:r>
              <w:rPr>
                <w:rFonts w:hint="default" w:ascii="Times New Roman" w:hAnsi="Times New Roman" w:eastAsia="仿宋_GB2312" w:cs="Times New Roman"/>
                <w:color w:val="auto"/>
                <w:sz w:val="18"/>
                <w:szCs w:val="18"/>
                <w:highlight w:val="none"/>
              </w:rPr>
              <w:t>产出成本</w:t>
            </w: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仿宋_GB2312" w:cs="Times New Roman"/>
                <w:color w:val="auto"/>
                <w:kern w:val="44"/>
                <w:sz w:val="18"/>
                <w:szCs w:val="18"/>
                <w:highlight w:val="none"/>
                <w:lang w:val="en-US" w:eastAsia="zh-CN" w:bidi="ar-SA"/>
              </w:rPr>
            </w:pPr>
            <w:r>
              <w:rPr>
                <w:rFonts w:hint="default" w:ascii="Times New Roman" w:hAnsi="Times New Roman" w:eastAsia="仿宋_GB2312" w:cs="Times New Roman"/>
                <w:color w:val="auto"/>
                <w:sz w:val="18"/>
                <w:szCs w:val="18"/>
                <w:highlight w:val="none"/>
              </w:rPr>
              <w:t>成本节约率</w:t>
            </w:r>
          </w:p>
        </w:tc>
        <w:tc>
          <w:tcPr>
            <w:tcW w:w="1674" w:type="dxa"/>
            <w:tcBorders>
              <w:top w:val="single" w:color="000000" w:sz="4" w:space="0"/>
              <w:left w:val="single" w:color="000000" w:sz="4" w:space="0"/>
              <w:bottom w:val="single" w:color="000000" w:sz="4" w:space="0"/>
              <w:right w:val="nil"/>
            </w:tcBorders>
            <w:shd w:val="clear" w:color="auto" w:fill="FFFFFF"/>
            <w:vAlign w:val="center"/>
          </w:tcPr>
          <w:p>
            <w:pPr>
              <w:pStyle w:val="13"/>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auto"/>
                <w:kern w:val="44"/>
                <w:sz w:val="18"/>
                <w:szCs w:val="18"/>
                <w:highlight w:val="none"/>
                <w:lang w:val="en-US" w:eastAsia="zh-CN" w:bidi="ar-SA"/>
              </w:rPr>
            </w:pPr>
            <w:r>
              <w:rPr>
                <w:rFonts w:hint="default" w:ascii="Times New Roman" w:hAnsi="Times New Roman" w:eastAsia="仿宋_GB2312" w:cs="Times New Roman"/>
                <w:color w:val="auto"/>
                <w:sz w:val="18"/>
                <w:szCs w:val="18"/>
                <w:highlight w:val="none"/>
              </w:rPr>
              <w:t>完成项目计划工作目标的实际节约成本与计划成本的比率，用以反映和考核项目的成本节约程度。</w:t>
            </w:r>
          </w:p>
        </w:tc>
        <w:tc>
          <w:tcPr>
            <w:tcW w:w="33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成本节约率=〔（计划成本</w:t>
            </w:r>
            <w:r>
              <w:rPr>
                <w:rFonts w:hint="default" w:ascii="Times New Roman" w:hAnsi="Times New Roman" w:eastAsia="仿宋_GB2312" w:cs="Times New Roman"/>
                <w:color w:val="auto"/>
                <w:sz w:val="18"/>
                <w:szCs w:val="18"/>
                <w:highlight w:val="none"/>
                <w:lang w:eastAsia="zh-CN"/>
              </w:rPr>
              <w:t>－</w:t>
            </w:r>
            <w:r>
              <w:rPr>
                <w:rFonts w:hint="default" w:ascii="Times New Roman" w:hAnsi="Times New Roman" w:eastAsia="仿宋_GB2312" w:cs="Times New Roman"/>
                <w:color w:val="auto"/>
                <w:sz w:val="18"/>
                <w:szCs w:val="18"/>
                <w:highlight w:val="none"/>
              </w:rPr>
              <w:t>实际成本）/计划成本〕×100%。</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实际成本：项目实施单位如期、保质、保量完成既定工作目标实际所耗费的支出。</w:t>
            </w:r>
          </w:p>
          <w:p>
            <w:pPr>
              <w:pStyle w:val="13"/>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auto"/>
                <w:kern w:val="44"/>
                <w:sz w:val="18"/>
                <w:szCs w:val="18"/>
                <w:highlight w:val="none"/>
                <w:lang w:val="en-US" w:eastAsia="zh-CN" w:bidi="ar-SA"/>
              </w:rPr>
            </w:pPr>
            <w:r>
              <w:rPr>
                <w:rFonts w:hint="default" w:ascii="Times New Roman" w:hAnsi="Times New Roman" w:eastAsia="仿宋_GB2312" w:cs="Times New Roman"/>
                <w:color w:val="auto"/>
                <w:sz w:val="18"/>
                <w:szCs w:val="18"/>
                <w:highlight w:val="none"/>
              </w:rPr>
              <w:t>计划成本：项目实施单位为完成工作目标计划安排的支出，一般以项目预算为参考。</w:t>
            </w:r>
          </w:p>
        </w:tc>
        <w:tc>
          <w:tcPr>
            <w:tcW w:w="531" w:type="dxa"/>
            <w:tcBorders>
              <w:top w:val="single" w:color="000000" w:sz="4" w:space="0"/>
              <w:left w:val="single" w:color="000000" w:sz="4" w:space="0"/>
              <w:bottom w:val="single" w:color="000000" w:sz="4" w:space="0"/>
              <w:right w:val="single" w:color="000000" w:sz="4" w:space="0"/>
            </w:tcBorders>
            <w:vAlign w:val="center"/>
          </w:tcPr>
          <w:p>
            <w:pPr>
              <w:pStyle w:val="13"/>
              <w:bidi w:val="0"/>
              <w:ind w:firstLine="0" w:firstLineChars="0"/>
              <w:rPr>
                <w:rFonts w:hint="default" w:ascii="Times New Roman" w:hAnsi="Times New Roman" w:eastAsia="仿宋_GB2312" w:cs="Times New Roman"/>
                <w:color w:val="auto"/>
                <w:kern w:val="44"/>
                <w:sz w:val="18"/>
                <w:szCs w:val="18"/>
                <w:highlight w:val="none"/>
                <w:lang w:val="en-US" w:eastAsia="zh-CN" w:bidi="ar-SA"/>
              </w:rPr>
            </w:pPr>
            <w:r>
              <w:rPr>
                <w:rFonts w:hint="eastAsia"/>
                <w:color w:val="auto"/>
                <w:highlight w:val="none"/>
                <w:lang w:val="en-US" w:eastAsia="zh-CN"/>
              </w:rPr>
              <w:t>8</w:t>
            </w:r>
          </w:p>
        </w:tc>
        <w:tc>
          <w:tcPr>
            <w:tcW w:w="531" w:type="dxa"/>
            <w:tcBorders>
              <w:top w:val="single" w:color="000000" w:sz="4" w:space="0"/>
              <w:left w:val="single" w:color="000000" w:sz="4" w:space="0"/>
              <w:bottom w:val="single" w:color="000000" w:sz="4" w:space="0"/>
              <w:right w:val="single" w:color="000000" w:sz="4" w:space="0"/>
            </w:tcBorders>
            <w:vAlign w:val="center"/>
          </w:tcPr>
          <w:p>
            <w:pPr>
              <w:pStyle w:val="13"/>
              <w:bidi w:val="0"/>
              <w:ind w:firstLine="0" w:firstLineChars="0"/>
              <w:rPr>
                <w:rFonts w:hint="eastAsia"/>
                <w:color w:val="auto"/>
                <w:highlight w:val="none"/>
              </w:rPr>
            </w:pPr>
            <w:r>
              <w:rPr>
                <w:rFonts w:hint="eastAsia"/>
                <w:color w:val="auto"/>
                <w:highlight w:val="none"/>
                <w:lang w:val="en-US" w:eastAsia="zh-CN"/>
              </w:rPr>
              <w:t>8</w:t>
            </w:r>
          </w:p>
        </w:tc>
      </w:tr>
      <w:tr>
        <w:tblPrEx>
          <w:tblCellMar>
            <w:top w:w="0" w:type="dxa"/>
            <w:left w:w="108" w:type="dxa"/>
            <w:bottom w:w="0" w:type="dxa"/>
            <w:right w:w="108" w:type="dxa"/>
          </w:tblCellMar>
        </w:tblPrEx>
        <w:trPr>
          <w:trHeight w:val="780" w:hRule="atLeast"/>
        </w:trPr>
        <w:tc>
          <w:tcPr>
            <w:tcW w:w="59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效益</w:t>
            </w:r>
          </w:p>
        </w:tc>
        <w:tc>
          <w:tcPr>
            <w:tcW w:w="76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项目效益</w:t>
            </w: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实施效益</w:t>
            </w:r>
          </w:p>
        </w:tc>
        <w:tc>
          <w:tcPr>
            <w:tcW w:w="1674" w:type="dxa"/>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项目实施所产生的效益。</w:t>
            </w:r>
          </w:p>
        </w:tc>
        <w:tc>
          <w:tcPr>
            <w:tcW w:w="33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项目实施所产生的社会效益、经济效益、生态效益、可持续影响等。可根据项目实际情况有选择地设置和细化。</w:t>
            </w:r>
          </w:p>
        </w:tc>
        <w:tc>
          <w:tcPr>
            <w:tcW w:w="531" w:type="dxa"/>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r>
              <w:rPr>
                <w:color w:val="auto"/>
                <w:highlight w:val="none"/>
              </w:rPr>
              <w:t>10</w:t>
            </w:r>
          </w:p>
        </w:tc>
        <w:tc>
          <w:tcPr>
            <w:tcW w:w="531" w:type="dxa"/>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r>
              <w:rPr>
                <w:rFonts w:hint="eastAsia"/>
                <w:color w:val="auto"/>
                <w:highlight w:val="none"/>
              </w:rPr>
              <w:t>10</w:t>
            </w:r>
          </w:p>
        </w:tc>
      </w:tr>
      <w:tr>
        <w:tblPrEx>
          <w:tblCellMar>
            <w:top w:w="0" w:type="dxa"/>
            <w:left w:w="108" w:type="dxa"/>
            <w:bottom w:w="0" w:type="dxa"/>
            <w:right w:w="108" w:type="dxa"/>
          </w:tblCellMar>
        </w:tblPrEx>
        <w:trPr>
          <w:trHeight w:val="860"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满意度</w:t>
            </w:r>
          </w:p>
        </w:tc>
        <w:tc>
          <w:tcPr>
            <w:tcW w:w="1674" w:type="dxa"/>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社会公众或服务对象对项目实施效果的满意程度。</w:t>
            </w:r>
          </w:p>
        </w:tc>
        <w:tc>
          <w:tcPr>
            <w:tcW w:w="33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社会公众或服务对象是指因该项目实施而受到影响的部门（单位）、群体或个人。一般采取社会调查的方式。</w:t>
            </w:r>
          </w:p>
        </w:tc>
        <w:tc>
          <w:tcPr>
            <w:tcW w:w="531" w:type="dxa"/>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r>
              <w:rPr>
                <w:color w:val="auto"/>
                <w:highlight w:val="none"/>
              </w:rPr>
              <w:t>10</w:t>
            </w:r>
          </w:p>
        </w:tc>
        <w:tc>
          <w:tcPr>
            <w:tcW w:w="531" w:type="dxa"/>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r>
              <w:rPr>
                <w:rFonts w:hint="eastAsia"/>
                <w:color w:val="auto"/>
                <w:highlight w:val="none"/>
              </w:rPr>
              <w:t>10</w:t>
            </w:r>
          </w:p>
        </w:tc>
      </w:tr>
      <w:tr>
        <w:tblPrEx>
          <w:tblCellMar>
            <w:top w:w="0" w:type="dxa"/>
            <w:left w:w="108" w:type="dxa"/>
            <w:bottom w:w="0" w:type="dxa"/>
            <w:right w:w="108" w:type="dxa"/>
          </w:tblCellMar>
        </w:tblPrEx>
        <w:trPr>
          <w:trHeight w:val="460" w:hRule="atLeast"/>
        </w:trPr>
        <w:tc>
          <w:tcPr>
            <w:tcW w:w="7341" w:type="dxa"/>
            <w:gridSpan w:val="5"/>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r>
              <w:rPr>
                <w:color w:val="auto"/>
                <w:highlight w:val="none"/>
              </w:rPr>
              <w:t>合计</w:t>
            </w:r>
          </w:p>
        </w:tc>
        <w:tc>
          <w:tcPr>
            <w:tcW w:w="531" w:type="dxa"/>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r>
              <w:rPr>
                <w:color w:val="auto"/>
                <w:highlight w:val="none"/>
              </w:rPr>
              <w:t>100</w:t>
            </w:r>
          </w:p>
        </w:tc>
        <w:tc>
          <w:tcPr>
            <w:tcW w:w="531" w:type="dxa"/>
            <w:tcBorders>
              <w:top w:val="single" w:color="000000" w:sz="4" w:space="0"/>
              <w:left w:val="single" w:color="000000" w:sz="4" w:space="0"/>
              <w:bottom w:val="single" w:color="000000" w:sz="4" w:space="0"/>
              <w:right w:val="single" w:color="000000" w:sz="4" w:space="0"/>
            </w:tcBorders>
            <w:vAlign w:val="center"/>
          </w:tcPr>
          <w:p>
            <w:pPr>
              <w:pStyle w:val="13"/>
              <w:bidi w:val="0"/>
              <w:rPr>
                <w:color w:val="auto"/>
                <w:highlight w:val="none"/>
              </w:rPr>
            </w:pPr>
            <w:r>
              <w:rPr>
                <w:rFonts w:hint="eastAsia"/>
                <w:color w:val="auto"/>
                <w:highlight w:val="none"/>
              </w:rPr>
              <w:t>100</w:t>
            </w:r>
          </w:p>
        </w:tc>
      </w:tr>
    </w:tbl>
    <w:p>
      <w:pPr>
        <w:ind w:firstLine="640"/>
        <w:rPr>
          <w:color w:val="auto"/>
          <w:highlight w:val="none"/>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10C272E-6F9E-4B1D-B8CE-306278EE042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embedRegular r:id="rId2" w:fontKey="{09217B16-8D1E-49F6-B290-58085834411C}"/>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3" w:fontKey="{1905DCAE-5E59-4922-9FD6-8E96221A0948}"/>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7"/>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ODQ1NGNmNGU5ZTQ0MGUxMDEzMGEzNzMxNWFjNDkifQ=="/>
  </w:docVars>
  <w:rsids>
    <w:rsidRoot w:val="0055607C"/>
    <w:rsid w:val="00004A41"/>
    <w:rsid w:val="000348DC"/>
    <w:rsid w:val="000449F7"/>
    <w:rsid w:val="00055BDC"/>
    <w:rsid w:val="00060667"/>
    <w:rsid w:val="000611E4"/>
    <w:rsid w:val="000947D1"/>
    <w:rsid w:val="000A0952"/>
    <w:rsid w:val="000B2381"/>
    <w:rsid w:val="001144B9"/>
    <w:rsid w:val="00124518"/>
    <w:rsid w:val="0016767F"/>
    <w:rsid w:val="00175EE1"/>
    <w:rsid w:val="00191B2B"/>
    <w:rsid w:val="001A2E59"/>
    <w:rsid w:val="001E68A9"/>
    <w:rsid w:val="001F399B"/>
    <w:rsid w:val="002071C8"/>
    <w:rsid w:val="00213EE5"/>
    <w:rsid w:val="00226BE1"/>
    <w:rsid w:val="0028195E"/>
    <w:rsid w:val="00286273"/>
    <w:rsid w:val="002D4048"/>
    <w:rsid w:val="00314E81"/>
    <w:rsid w:val="00345492"/>
    <w:rsid w:val="00346B64"/>
    <w:rsid w:val="0039188D"/>
    <w:rsid w:val="003D7562"/>
    <w:rsid w:val="00410175"/>
    <w:rsid w:val="00415424"/>
    <w:rsid w:val="0046454C"/>
    <w:rsid w:val="004720E4"/>
    <w:rsid w:val="0048209D"/>
    <w:rsid w:val="004C4B92"/>
    <w:rsid w:val="004D51B2"/>
    <w:rsid w:val="004E1243"/>
    <w:rsid w:val="004E7DF7"/>
    <w:rsid w:val="004F73B1"/>
    <w:rsid w:val="0051467D"/>
    <w:rsid w:val="00515E7D"/>
    <w:rsid w:val="00540A1E"/>
    <w:rsid w:val="00550F8E"/>
    <w:rsid w:val="005512D1"/>
    <w:rsid w:val="00554F57"/>
    <w:rsid w:val="005554BD"/>
    <w:rsid w:val="0055607C"/>
    <w:rsid w:val="00571D72"/>
    <w:rsid w:val="005730A0"/>
    <w:rsid w:val="005A6F3B"/>
    <w:rsid w:val="005C29C5"/>
    <w:rsid w:val="005C7035"/>
    <w:rsid w:val="00602228"/>
    <w:rsid w:val="0062286C"/>
    <w:rsid w:val="0062723C"/>
    <w:rsid w:val="00686AA3"/>
    <w:rsid w:val="006A2D78"/>
    <w:rsid w:val="006C65BA"/>
    <w:rsid w:val="006F40CE"/>
    <w:rsid w:val="0079140F"/>
    <w:rsid w:val="007C5EE5"/>
    <w:rsid w:val="00813321"/>
    <w:rsid w:val="00813D9F"/>
    <w:rsid w:val="00851942"/>
    <w:rsid w:val="00861118"/>
    <w:rsid w:val="00870F32"/>
    <w:rsid w:val="00902AAE"/>
    <w:rsid w:val="00922570"/>
    <w:rsid w:val="00966991"/>
    <w:rsid w:val="00970CC9"/>
    <w:rsid w:val="0098249A"/>
    <w:rsid w:val="009834FF"/>
    <w:rsid w:val="00994901"/>
    <w:rsid w:val="009D3696"/>
    <w:rsid w:val="00A15D3A"/>
    <w:rsid w:val="00A22F3B"/>
    <w:rsid w:val="00A25D71"/>
    <w:rsid w:val="00A47B7A"/>
    <w:rsid w:val="00A6185E"/>
    <w:rsid w:val="00A725AF"/>
    <w:rsid w:val="00A762DA"/>
    <w:rsid w:val="00A83C01"/>
    <w:rsid w:val="00AA01D2"/>
    <w:rsid w:val="00AA4A54"/>
    <w:rsid w:val="00AA7227"/>
    <w:rsid w:val="00AA723D"/>
    <w:rsid w:val="00AD1679"/>
    <w:rsid w:val="00B049E0"/>
    <w:rsid w:val="00B05394"/>
    <w:rsid w:val="00B120CB"/>
    <w:rsid w:val="00B22074"/>
    <w:rsid w:val="00B42303"/>
    <w:rsid w:val="00B423D0"/>
    <w:rsid w:val="00B722B8"/>
    <w:rsid w:val="00B76F6C"/>
    <w:rsid w:val="00B822E2"/>
    <w:rsid w:val="00B92E9D"/>
    <w:rsid w:val="00BC3A59"/>
    <w:rsid w:val="00BE59E0"/>
    <w:rsid w:val="00BE6CCC"/>
    <w:rsid w:val="00C01C00"/>
    <w:rsid w:val="00C05D07"/>
    <w:rsid w:val="00C14165"/>
    <w:rsid w:val="00C36056"/>
    <w:rsid w:val="00C619F0"/>
    <w:rsid w:val="00CA7138"/>
    <w:rsid w:val="00CC2307"/>
    <w:rsid w:val="00CC652E"/>
    <w:rsid w:val="00CD3409"/>
    <w:rsid w:val="00CE43AD"/>
    <w:rsid w:val="00D22B5F"/>
    <w:rsid w:val="00D24FF5"/>
    <w:rsid w:val="00D32557"/>
    <w:rsid w:val="00D43E32"/>
    <w:rsid w:val="00D56A00"/>
    <w:rsid w:val="00D60FB5"/>
    <w:rsid w:val="00D72542"/>
    <w:rsid w:val="00D75372"/>
    <w:rsid w:val="00DA534A"/>
    <w:rsid w:val="00DC6A68"/>
    <w:rsid w:val="00DD2019"/>
    <w:rsid w:val="00DF0F32"/>
    <w:rsid w:val="00E12FCD"/>
    <w:rsid w:val="00E61A26"/>
    <w:rsid w:val="00F05AE2"/>
    <w:rsid w:val="00F070CA"/>
    <w:rsid w:val="00F26083"/>
    <w:rsid w:val="00F4288E"/>
    <w:rsid w:val="00F53D1D"/>
    <w:rsid w:val="00F65612"/>
    <w:rsid w:val="00F72E2D"/>
    <w:rsid w:val="00FA14B6"/>
    <w:rsid w:val="00FB1332"/>
    <w:rsid w:val="00FC61AF"/>
    <w:rsid w:val="00FD1006"/>
    <w:rsid w:val="00FF1FCF"/>
    <w:rsid w:val="04174CC4"/>
    <w:rsid w:val="04B83EBA"/>
    <w:rsid w:val="0C5469CB"/>
    <w:rsid w:val="0C7D249E"/>
    <w:rsid w:val="0CC854B7"/>
    <w:rsid w:val="0CDA5C72"/>
    <w:rsid w:val="0CFC50E7"/>
    <w:rsid w:val="0E3F7782"/>
    <w:rsid w:val="102648B3"/>
    <w:rsid w:val="115123F1"/>
    <w:rsid w:val="14BE5A22"/>
    <w:rsid w:val="165A7AC9"/>
    <w:rsid w:val="16F541C7"/>
    <w:rsid w:val="180579A0"/>
    <w:rsid w:val="1AFC58EB"/>
    <w:rsid w:val="1B056B32"/>
    <w:rsid w:val="1C7415E8"/>
    <w:rsid w:val="1D867D27"/>
    <w:rsid w:val="20DF3CB6"/>
    <w:rsid w:val="214C2831"/>
    <w:rsid w:val="22002F1A"/>
    <w:rsid w:val="2217066C"/>
    <w:rsid w:val="227C2FCF"/>
    <w:rsid w:val="229D30B0"/>
    <w:rsid w:val="24F84ABC"/>
    <w:rsid w:val="258A4700"/>
    <w:rsid w:val="28CE74FD"/>
    <w:rsid w:val="2ADB64CF"/>
    <w:rsid w:val="2B215329"/>
    <w:rsid w:val="2D170966"/>
    <w:rsid w:val="309171FA"/>
    <w:rsid w:val="315F2457"/>
    <w:rsid w:val="32B4641F"/>
    <w:rsid w:val="344C0265"/>
    <w:rsid w:val="34C31CC8"/>
    <w:rsid w:val="366B1286"/>
    <w:rsid w:val="38405FC3"/>
    <w:rsid w:val="391F1A12"/>
    <w:rsid w:val="392C744A"/>
    <w:rsid w:val="397B3E04"/>
    <w:rsid w:val="39AC74F9"/>
    <w:rsid w:val="3A0168D3"/>
    <w:rsid w:val="3A57603B"/>
    <w:rsid w:val="3B457B92"/>
    <w:rsid w:val="3ECA2AD0"/>
    <w:rsid w:val="3FD249E5"/>
    <w:rsid w:val="41537D1D"/>
    <w:rsid w:val="419E5AFB"/>
    <w:rsid w:val="41EC0D67"/>
    <w:rsid w:val="45297C62"/>
    <w:rsid w:val="469D4A12"/>
    <w:rsid w:val="487134B2"/>
    <w:rsid w:val="491A0401"/>
    <w:rsid w:val="4A931CAD"/>
    <w:rsid w:val="4BFC3821"/>
    <w:rsid w:val="4C0D65C5"/>
    <w:rsid w:val="4C3D4EDE"/>
    <w:rsid w:val="4CDE6225"/>
    <w:rsid w:val="4EA41507"/>
    <w:rsid w:val="4FD42264"/>
    <w:rsid w:val="50B00C42"/>
    <w:rsid w:val="55DB7C59"/>
    <w:rsid w:val="56D45B12"/>
    <w:rsid w:val="5A98522A"/>
    <w:rsid w:val="5BBB4441"/>
    <w:rsid w:val="5C3274F4"/>
    <w:rsid w:val="5D597800"/>
    <w:rsid w:val="5E4E357A"/>
    <w:rsid w:val="5E68756F"/>
    <w:rsid w:val="608A66C5"/>
    <w:rsid w:val="612C34F8"/>
    <w:rsid w:val="618B4BBA"/>
    <w:rsid w:val="643E2A9B"/>
    <w:rsid w:val="655E723D"/>
    <w:rsid w:val="656C651C"/>
    <w:rsid w:val="660558DD"/>
    <w:rsid w:val="69937072"/>
    <w:rsid w:val="69F410BB"/>
    <w:rsid w:val="6AE87029"/>
    <w:rsid w:val="6BA3165E"/>
    <w:rsid w:val="6F4B003B"/>
    <w:rsid w:val="7223270B"/>
    <w:rsid w:val="72A37968"/>
    <w:rsid w:val="72D05C96"/>
    <w:rsid w:val="74135864"/>
    <w:rsid w:val="7480197B"/>
    <w:rsid w:val="7633478D"/>
    <w:rsid w:val="77683CFD"/>
    <w:rsid w:val="7C9A1C94"/>
    <w:rsid w:val="7DF460B4"/>
    <w:rsid w:val="7F0665F1"/>
    <w:rsid w:val="7F86039A"/>
    <w:rsid w:val="7FDE0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link w:val="18"/>
    <w:qFormat/>
    <w:uiPriority w:val="9"/>
    <w:pPr>
      <w:keepNext/>
      <w:keepLines/>
      <w:ind w:firstLine="0" w:firstLineChars="0"/>
      <w:jc w:val="center"/>
      <w:outlineLvl w:val="0"/>
    </w:pPr>
    <w:rPr>
      <w:rFonts w:eastAsia="方正小标宋_GBK"/>
      <w:kern w:val="44"/>
      <w:sz w:val="36"/>
    </w:rPr>
  </w:style>
  <w:style w:type="paragraph" w:styleId="4">
    <w:name w:val="heading 2"/>
    <w:basedOn w:val="1"/>
    <w:next w:val="1"/>
    <w:link w:val="16"/>
    <w:qFormat/>
    <w:uiPriority w:val="99"/>
    <w:pPr>
      <w:keepNext/>
      <w:outlineLvl w:val="1"/>
    </w:pPr>
    <w:rPr>
      <w:rFonts w:eastAsia="黑体" w:cs="Times New Roman"/>
      <w:bCs/>
      <w:iCs/>
      <w:szCs w:val="21"/>
    </w:rPr>
  </w:style>
  <w:style w:type="paragraph" w:styleId="2">
    <w:name w:val="heading 3"/>
    <w:basedOn w:val="1"/>
    <w:next w:val="1"/>
    <w:link w:val="17"/>
    <w:unhideWhenUsed/>
    <w:qFormat/>
    <w:uiPriority w:val="9"/>
    <w:pPr>
      <w:keepNext/>
      <w:keepLines/>
      <w:outlineLvl w:val="2"/>
    </w:pPr>
    <w:rPr>
      <w:rFonts w:eastAsia="楷体_GB2312"/>
      <w:b/>
    </w:rPr>
  </w:style>
  <w:style w:type="paragraph" w:styleId="5">
    <w:name w:val="heading 4"/>
    <w:basedOn w:val="1"/>
    <w:next w:val="1"/>
    <w:unhideWhenUsed/>
    <w:qFormat/>
    <w:uiPriority w:val="9"/>
    <w:pPr>
      <w:keepNext/>
      <w:keepLines/>
      <w:spacing w:line="372" w:lineRule="auto"/>
      <w:outlineLvl w:val="3"/>
    </w:pPr>
    <w:rPr>
      <w:rFonts w:ascii="Arial" w:hAnsi="Arial" w:eastAsia="黑体"/>
      <w:b/>
      <w:sz w:val="28"/>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6">
    <w:name w:val="annotation text"/>
    <w:basedOn w:val="1"/>
    <w:unhideWhenUsed/>
    <w:qFormat/>
    <w:uiPriority w:val="99"/>
    <w:pPr>
      <w:jc w:val="left"/>
    </w:pPr>
  </w:style>
  <w:style w:type="paragraph" w:styleId="7">
    <w:name w:val="footer"/>
    <w:basedOn w:val="1"/>
    <w:link w:val="14"/>
    <w:unhideWhenUsed/>
    <w:qFormat/>
    <w:uiPriority w:val="99"/>
    <w:pPr>
      <w:tabs>
        <w:tab w:val="center" w:pos="4153"/>
        <w:tab w:val="right" w:pos="8306"/>
      </w:tabs>
      <w:snapToGrid w:val="0"/>
      <w:jc w:val="left"/>
    </w:pPr>
    <w:rPr>
      <w:sz w:val="18"/>
    </w:rPr>
  </w:style>
  <w:style w:type="paragraph" w:styleId="8">
    <w:name w:val="header"/>
    <w:basedOn w:val="1"/>
    <w:link w:val="15"/>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2">
    <w:name w:val="表格标题"/>
    <w:basedOn w:val="1"/>
    <w:next w:val="1"/>
    <w:qFormat/>
    <w:uiPriority w:val="0"/>
    <w:pPr>
      <w:keepNext/>
      <w:keepLines/>
      <w:ind w:firstLine="0" w:firstLineChars="0"/>
      <w:jc w:val="center"/>
      <w:outlineLvl w:val="0"/>
    </w:pPr>
    <w:rPr>
      <w:rFonts w:hint="eastAsia"/>
      <w:b/>
      <w:kern w:val="44"/>
    </w:rPr>
  </w:style>
  <w:style w:type="paragraph" w:customStyle="1" w:styleId="13">
    <w:name w:val="表格内容"/>
    <w:basedOn w:val="1"/>
    <w:next w:val="1"/>
    <w:qFormat/>
    <w:uiPriority w:val="0"/>
    <w:pPr>
      <w:keepNext/>
      <w:keepLines/>
      <w:spacing w:line="240" w:lineRule="auto"/>
      <w:ind w:firstLine="0" w:firstLineChars="0"/>
      <w:jc w:val="center"/>
      <w:outlineLvl w:val="0"/>
    </w:pPr>
    <w:rPr>
      <w:rFonts w:hint="eastAsia"/>
      <w:kern w:val="44"/>
      <w:sz w:val="21"/>
    </w:rPr>
  </w:style>
  <w:style w:type="character" w:customStyle="1" w:styleId="14">
    <w:name w:val="页脚 字符"/>
    <w:basedOn w:val="11"/>
    <w:link w:val="7"/>
    <w:semiHidden/>
    <w:qFormat/>
    <w:uiPriority w:val="99"/>
    <w:rPr>
      <w:rFonts w:eastAsia="仿宋_GB2312" w:cstheme="minorBidi"/>
      <w:kern w:val="2"/>
      <w:sz w:val="18"/>
      <w:szCs w:val="22"/>
    </w:rPr>
  </w:style>
  <w:style w:type="character" w:customStyle="1" w:styleId="15">
    <w:name w:val="页眉 字符"/>
    <w:basedOn w:val="11"/>
    <w:link w:val="8"/>
    <w:qFormat/>
    <w:uiPriority w:val="99"/>
    <w:rPr>
      <w:rFonts w:eastAsia="仿宋_GB2312" w:cstheme="minorBidi"/>
      <w:kern w:val="2"/>
      <w:sz w:val="18"/>
      <w:szCs w:val="22"/>
    </w:rPr>
  </w:style>
  <w:style w:type="character" w:customStyle="1" w:styleId="16">
    <w:name w:val="标题 2 字符"/>
    <w:basedOn w:val="11"/>
    <w:link w:val="4"/>
    <w:qFormat/>
    <w:uiPriority w:val="99"/>
    <w:rPr>
      <w:rFonts w:eastAsia="黑体"/>
      <w:bCs/>
      <w:iCs/>
      <w:kern w:val="2"/>
      <w:sz w:val="32"/>
      <w:szCs w:val="21"/>
    </w:rPr>
  </w:style>
  <w:style w:type="character" w:customStyle="1" w:styleId="17">
    <w:name w:val="标题 3 字符"/>
    <w:link w:val="2"/>
    <w:qFormat/>
    <w:uiPriority w:val="9"/>
    <w:rPr>
      <w:rFonts w:eastAsia="楷体_GB2312" w:cstheme="minorBidi"/>
      <w:b/>
      <w:kern w:val="2"/>
      <w:sz w:val="32"/>
      <w:szCs w:val="22"/>
    </w:rPr>
  </w:style>
  <w:style w:type="character" w:customStyle="1" w:styleId="18">
    <w:name w:val="标题 1 字符"/>
    <w:basedOn w:val="11"/>
    <w:link w:val="3"/>
    <w:qFormat/>
    <w:uiPriority w:val="9"/>
    <w:rPr>
      <w:rFonts w:eastAsia="方正小标宋_GBK" w:cstheme="minorBidi"/>
      <w:kern w:val="44"/>
      <w:sz w:val="36"/>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205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17F14B-631F-41B2-B6AC-0DB1478980A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26</Pages>
  <Words>11090</Words>
  <Characters>11567</Characters>
  <Lines>98</Lines>
  <Paragraphs>27</Paragraphs>
  <TotalTime>0</TotalTime>
  <ScaleCrop>false</ScaleCrop>
  <LinksUpToDate>false</LinksUpToDate>
  <CharactersWithSpaces>11589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2020-05-25T09:48:00Z</dcterms:created>
  <dc:creator>Administrator</dc:creator>
  <cp:lastModifiedBy>Administrator</cp:lastModifiedBy>
  <dcterms:modified xsi:type="dcterms:W3CDTF">2024-08-15T02:46:16Z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13071867BB2D42EB8B09DBF9648F84E1_13</vt:lpwstr>
  </property>
</Properties>
</file>