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color w:val="auto"/>
          <w:highlight w:val="none"/>
        </w:rPr>
      </w:pPr>
    </w:p>
    <w:p>
      <w:pPr>
        <w:bidi w:val="0"/>
        <w:rPr>
          <w:color w:val="auto"/>
          <w:highlight w:val="none"/>
        </w:rPr>
      </w:pPr>
    </w:p>
    <w:p>
      <w:pPr>
        <w:bidi w:val="0"/>
        <w:rPr>
          <w:color w:val="auto"/>
          <w:highlight w:val="none"/>
        </w:rPr>
      </w:pPr>
    </w:p>
    <w:p>
      <w:pPr>
        <w:bidi w:val="0"/>
        <w:rPr>
          <w:color w:val="auto"/>
          <w:highlight w:val="none"/>
        </w:rPr>
      </w:pPr>
    </w:p>
    <w:p>
      <w:pPr>
        <w:pStyle w:val="3"/>
        <w:bidi w:val="0"/>
        <w:rPr>
          <w:color w:val="auto"/>
          <w:sz w:val="44"/>
          <w:szCs w:val="44"/>
          <w:highlight w:val="none"/>
        </w:rPr>
      </w:pPr>
      <w:bookmarkStart w:id="0" w:name="_Toc17634"/>
      <w:r>
        <w:rPr>
          <w:color w:val="auto"/>
          <w:sz w:val="44"/>
          <w:szCs w:val="44"/>
          <w:highlight w:val="none"/>
        </w:rPr>
        <w:t>项目支出绩效评价报告</w:t>
      </w:r>
      <w:bookmarkEnd w:id="0"/>
    </w:p>
    <w:p>
      <w:pPr>
        <w:ind w:firstLine="640"/>
        <w:rPr>
          <w:color w:val="auto"/>
          <w:highlight w:val="none"/>
        </w:rPr>
      </w:pPr>
    </w:p>
    <w:p>
      <w:pPr>
        <w:ind w:firstLine="640"/>
        <w:rPr>
          <w:color w:val="auto"/>
          <w:highlight w:val="none"/>
        </w:rPr>
      </w:pPr>
    </w:p>
    <w:p>
      <w:pPr>
        <w:pStyle w:val="18"/>
        <w:bidi w:val="0"/>
        <w:rPr>
          <w:color w:val="auto"/>
          <w:sz w:val="28"/>
          <w:szCs w:val="28"/>
          <w:highlight w:val="none"/>
        </w:rPr>
      </w:pPr>
      <w:bookmarkStart w:id="1" w:name="_Toc3540"/>
      <w:r>
        <w:rPr>
          <w:color w:val="auto"/>
          <w:sz w:val="28"/>
          <w:szCs w:val="28"/>
          <w:highlight w:val="none"/>
        </w:rPr>
        <w:t>（202</w:t>
      </w:r>
      <w:r>
        <w:rPr>
          <w:rFonts w:hint="eastAsia"/>
          <w:color w:val="auto"/>
          <w:sz w:val="28"/>
          <w:szCs w:val="28"/>
          <w:highlight w:val="none"/>
          <w:lang w:val="en-US" w:eastAsia="zh-CN"/>
        </w:rPr>
        <w:t>3</w:t>
      </w:r>
      <w:r>
        <w:rPr>
          <w:color w:val="auto"/>
          <w:sz w:val="28"/>
          <w:szCs w:val="28"/>
          <w:highlight w:val="none"/>
        </w:rPr>
        <w:t>年度）</w:t>
      </w:r>
      <w:bookmarkEnd w:id="1"/>
    </w:p>
    <w:p>
      <w:pPr>
        <w:ind w:firstLine="640"/>
        <w:rPr>
          <w:color w:val="auto"/>
          <w:highlight w:val="none"/>
        </w:rPr>
      </w:pPr>
    </w:p>
    <w:p>
      <w:pPr>
        <w:ind w:firstLine="640"/>
        <w:rPr>
          <w:color w:val="auto"/>
          <w:highlight w:val="none"/>
        </w:rPr>
      </w:pPr>
    </w:p>
    <w:p>
      <w:pPr>
        <w:ind w:firstLine="640"/>
        <w:rPr>
          <w:color w:val="auto"/>
          <w:highlight w:val="none"/>
        </w:rPr>
      </w:pPr>
    </w:p>
    <w:p>
      <w:pPr>
        <w:bidi w:val="0"/>
        <w:rPr>
          <w:color w:val="auto"/>
          <w:highlight w:val="none"/>
        </w:rPr>
      </w:pPr>
    </w:p>
    <w:p>
      <w:pPr>
        <w:bidi w:val="0"/>
        <w:rPr>
          <w:color w:val="auto"/>
          <w:highlight w:val="none"/>
        </w:rPr>
      </w:pPr>
    </w:p>
    <w:p>
      <w:pPr>
        <w:bidi w:val="0"/>
        <w:rPr>
          <w:rFonts w:hint="eastAsia"/>
          <w:color w:val="auto"/>
          <w:highlight w:val="none"/>
          <w:lang w:eastAsia="zh-CN"/>
        </w:rPr>
      </w:pPr>
      <w:r>
        <w:rPr>
          <w:color w:val="auto"/>
          <w:highlight w:val="none"/>
        </w:rPr>
        <w:t>项目名称：</w:t>
      </w:r>
      <w:r>
        <w:rPr>
          <w:rFonts w:hint="eastAsia"/>
          <w:color w:val="auto"/>
          <w:highlight w:val="none"/>
          <w:lang w:eastAsia="zh-CN"/>
        </w:rPr>
        <w:t>尉犁县2023年国家级公益林管护项目</w:t>
      </w:r>
    </w:p>
    <w:p>
      <w:pPr>
        <w:bidi w:val="0"/>
        <w:rPr>
          <w:color w:val="auto"/>
          <w:highlight w:val="none"/>
        </w:rPr>
      </w:pPr>
      <w:r>
        <w:rPr>
          <w:color w:val="auto"/>
          <w:highlight w:val="none"/>
        </w:rPr>
        <w:t>实施单位：</w:t>
      </w:r>
      <w:r>
        <w:rPr>
          <w:rFonts w:hint="eastAsia"/>
          <w:color w:val="auto"/>
          <w:highlight w:val="none"/>
          <w:lang w:eastAsia="zh-CN"/>
        </w:rPr>
        <w:t>尉犁县林业和草原局</w:t>
      </w:r>
    </w:p>
    <w:p>
      <w:pPr>
        <w:bidi w:val="0"/>
        <w:rPr>
          <w:color w:val="auto"/>
          <w:highlight w:val="none"/>
        </w:rPr>
      </w:pPr>
      <w:r>
        <w:rPr>
          <w:color w:val="auto"/>
          <w:highlight w:val="none"/>
        </w:rPr>
        <w:t>主管部门：</w:t>
      </w:r>
      <w:r>
        <w:rPr>
          <w:rFonts w:hint="eastAsia"/>
          <w:color w:val="auto"/>
          <w:highlight w:val="none"/>
          <w:lang w:eastAsia="zh-CN"/>
        </w:rPr>
        <w:t>尉犁县林业和草原局</w:t>
      </w:r>
    </w:p>
    <w:p>
      <w:pPr>
        <w:bidi w:val="0"/>
        <w:rPr>
          <w:rFonts w:hint="default"/>
          <w:color w:val="auto"/>
          <w:highlight w:val="none"/>
          <w:lang w:val="en-US"/>
        </w:rPr>
      </w:pPr>
      <w:r>
        <w:rPr>
          <w:color w:val="auto"/>
          <w:highlight w:val="none"/>
        </w:rPr>
        <w:t>项目负责人（签章）：</w:t>
      </w:r>
      <w:r>
        <w:rPr>
          <w:rFonts w:hint="eastAsia"/>
          <w:color w:val="auto"/>
          <w:highlight w:val="none"/>
          <w:lang w:val="en-US" w:eastAsia="zh-CN"/>
        </w:rPr>
        <w:t>艾海提·肉孜</w:t>
      </w:r>
    </w:p>
    <w:p>
      <w:pPr>
        <w:bidi w:val="0"/>
        <w:rPr>
          <w:color w:val="auto"/>
          <w:highlight w:val="none"/>
        </w:rPr>
      </w:pPr>
      <w:r>
        <w:rPr>
          <w:color w:val="auto"/>
          <w:highlight w:val="none"/>
        </w:rPr>
        <w:t>填报时间：</w:t>
      </w:r>
      <w:r>
        <w:rPr>
          <w:rFonts w:hint="eastAsia" w:ascii="Times New Roman" w:hAnsi="Times New Roman"/>
          <w:color w:val="auto"/>
          <w:highlight w:val="none"/>
          <w:lang w:val="en-US" w:eastAsia="zh-CN"/>
        </w:rPr>
        <w:t>202</w:t>
      </w:r>
      <w:r>
        <w:rPr>
          <w:rFonts w:hint="eastAsia"/>
          <w:color w:val="auto"/>
          <w:highlight w:val="none"/>
          <w:lang w:val="en-US" w:eastAsia="zh-CN"/>
        </w:rPr>
        <w:t>4</w:t>
      </w:r>
      <w:r>
        <w:rPr>
          <w:color w:val="auto"/>
          <w:highlight w:val="none"/>
        </w:rPr>
        <w:t>年</w:t>
      </w:r>
      <w:r>
        <w:rPr>
          <w:rFonts w:hint="eastAsia"/>
          <w:color w:val="auto"/>
          <w:highlight w:val="none"/>
          <w:lang w:val="en-US" w:eastAsia="zh-CN"/>
        </w:rPr>
        <w:t>3</w:t>
      </w:r>
      <w:r>
        <w:rPr>
          <w:color w:val="auto"/>
          <w:highlight w:val="none"/>
        </w:rPr>
        <w:t>月</w:t>
      </w:r>
      <w:r>
        <w:rPr>
          <w:rFonts w:hint="eastAsia"/>
          <w:color w:val="auto"/>
          <w:highlight w:val="none"/>
          <w:lang w:val="en-US" w:eastAsia="zh-CN"/>
        </w:rPr>
        <w:t>1</w:t>
      </w:r>
      <w:r>
        <w:rPr>
          <w:rFonts w:hint="eastAsia" w:ascii="Times New Roman" w:hAnsi="Times New Roman"/>
          <w:color w:val="auto"/>
          <w:highlight w:val="none"/>
          <w:lang w:val="en-US" w:eastAsia="zh-CN"/>
        </w:rPr>
        <w:t>4</w:t>
      </w:r>
      <w:r>
        <w:rPr>
          <w:color w:val="auto"/>
          <w:highlight w:val="none"/>
        </w:rPr>
        <w:t>日</w:t>
      </w:r>
    </w:p>
    <w:p>
      <w:pPr>
        <w:ind w:firstLine="620"/>
        <w:rPr>
          <w:rFonts w:eastAsia="方正仿宋_GBK"/>
          <w:color w:val="auto"/>
          <w:sz w:val="31"/>
          <w:szCs w:val="31"/>
          <w:highlight w:val="none"/>
        </w:rPr>
      </w:pPr>
      <w:r>
        <w:rPr>
          <w:rFonts w:eastAsia="方正仿宋_GBK"/>
          <w:color w:val="auto"/>
          <w:sz w:val="31"/>
          <w:szCs w:val="31"/>
          <w:highlight w:val="none"/>
        </w:rPr>
        <w:br w:type="page"/>
      </w:r>
    </w:p>
    <w:sdt>
      <w:sdtPr>
        <w:rPr>
          <w:rFonts w:ascii="宋体" w:hAnsi="宋体" w:eastAsia="宋体" w:cstheme="minorBidi"/>
          <w:color w:val="auto"/>
          <w:kern w:val="2"/>
          <w:sz w:val="21"/>
          <w:szCs w:val="22"/>
          <w:highlight w:val="none"/>
          <w:lang w:val="en-US" w:eastAsia="zh-CN" w:bidi="ar-SA"/>
        </w:rPr>
        <w:id w:val="147468435"/>
        <w15:color w:val="DBDBDB"/>
      </w:sdtPr>
      <w:sdtEndPr>
        <w:rPr>
          <w:rFonts w:ascii="宋体" w:hAnsi="宋体" w:eastAsia="宋体" w:cstheme="minorBidi"/>
          <w:b/>
          <w:color w:val="auto"/>
          <w:kern w:val="2"/>
          <w:sz w:val="21"/>
          <w:szCs w:val="22"/>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center"/>
            <w:textAlignment w:val="auto"/>
            <w:rPr>
              <w:rFonts w:hint="eastAsia" w:ascii="仿宋_GB2312" w:hAnsi="仿宋_GB2312" w:eastAsia="仿宋_GB2312" w:cs="仿宋_GB2312"/>
              <w:b/>
              <w:bCs/>
              <w:color w:val="auto"/>
              <w:sz w:val="32"/>
              <w:szCs w:val="32"/>
              <w:highlight w:val="none"/>
            </w:rPr>
          </w:pPr>
          <w:bookmarkStart w:id="2" w:name="_Toc25620"/>
          <w:r>
            <w:rPr>
              <w:rFonts w:hint="eastAsia" w:ascii="仿宋_GB2312" w:hAnsi="仿宋_GB2312" w:eastAsia="仿宋_GB2312" w:cs="仿宋_GB2312"/>
              <w:b/>
              <w:bCs/>
              <w:color w:val="auto"/>
              <w:sz w:val="32"/>
              <w:szCs w:val="32"/>
              <w:highlight w:val="none"/>
            </w:rPr>
            <w:t>目</w:t>
          </w:r>
          <w:r>
            <w:rPr>
              <w:rFonts w:hint="eastAsia" w:ascii="仿宋_GB2312" w:hAnsi="仿宋_GB2312" w:cs="仿宋_GB2312"/>
              <w:b/>
              <w:bCs/>
              <w:color w:val="auto"/>
              <w:sz w:val="32"/>
              <w:szCs w:val="32"/>
              <w:highlight w:val="none"/>
              <w:lang w:val="en-US" w:eastAsia="zh-CN"/>
            </w:rPr>
            <w:t xml:space="preserve">  </w:t>
          </w:r>
          <w:r>
            <w:rPr>
              <w:rFonts w:hint="eastAsia" w:ascii="仿宋_GB2312" w:hAnsi="仿宋_GB2312" w:eastAsia="仿宋_GB2312" w:cs="仿宋_GB2312"/>
              <w:b/>
              <w:bCs/>
              <w:color w:val="auto"/>
              <w:sz w:val="32"/>
              <w:szCs w:val="32"/>
              <w:highlight w:val="none"/>
            </w:rPr>
            <w:t>录</w:t>
          </w:r>
        </w:p>
        <w:p>
          <w:pPr>
            <w:pStyle w:val="12"/>
            <w:keepNext w:val="0"/>
            <w:keepLines w:val="0"/>
            <w:pageBreakBefore w:val="0"/>
            <w:tabs>
              <w:tab w:val="right" w:leader="dot" w:pos="8306"/>
            </w:tabs>
            <w:kinsoku/>
            <w:wordWrap/>
            <w:overflowPunct/>
            <w:topLinePunct w:val="0"/>
            <w:autoSpaceDE/>
            <w:autoSpaceDN/>
            <w:bidi w:val="0"/>
            <w:adjustRightInd/>
            <w:snapToGrid/>
            <w:ind w:left="0" w:leftChars="0" w:firstLine="640" w:firstLineChars="200"/>
            <w:jc w:val="both"/>
            <w:textAlignment w:val="auto"/>
            <w:rPr>
              <w:color w:val="auto"/>
              <w:highlight w:val="none"/>
            </w:rPr>
          </w:pPr>
          <w:r>
            <w:rPr>
              <w:color w:val="auto"/>
              <w:highlight w:val="none"/>
            </w:rPr>
            <w:fldChar w:fldCharType="begin"/>
          </w:r>
          <w:r>
            <w:rPr>
              <w:color w:val="auto"/>
              <w:highlight w:val="none"/>
            </w:rPr>
            <w:instrText xml:space="preserve">TOC \o "1-2" \h \u </w:instrText>
          </w:r>
          <w:r>
            <w:rPr>
              <w:color w:val="auto"/>
              <w:highlight w:val="none"/>
            </w:rPr>
            <w:fldChar w:fldCharType="separate"/>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0" w:firstLineChars="0"/>
            <w:jc w:val="both"/>
            <w:textAlignment w:val="auto"/>
            <w:rPr>
              <w:color w:val="auto"/>
              <w:highlight w:val="none"/>
            </w:rPr>
          </w:pPr>
          <w:r>
            <w:rPr>
              <w:color w:val="auto"/>
              <w:highlight w:val="none"/>
            </w:rPr>
            <w:fldChar w:fldCharType="begin"/>
          </w:r>
          <w:r>
            <w:rPr>
              <w:color w:val="auto"/>
              <w:highlight w:val="none"/>
            </w:rPr>
            <w:instrText xml:space="preserve"> HYPERLINK \l _Toc17009 </w:instrText>
          </w:r>
          <w:r>
            <w:rPr>
              <w:color w:val="auto"/>
              <w:highlight w:val="none"/>
            </w:rPr>
            <w:fldChar w:fldCharType="separate"/>
          </w:r>
          <w:r>
            <w:rPr>
              <w:color w:val="auto"/>
              <w:highlight w:val="none"/>
            </w:rPr>
            <w:t>一、基本情况</w:t>
          </w:r>
          <w:r>
            <w:rPr>
              <w:color w:val="auto"/>
              <w:highlight w:val="none"/>
            </w:rPr>
            <w:tab/>
          </w:r>
          <w:r>
            <w:rPr>
              <w:color w:val="auto"/>
              <w:highlight w:val="none"/>
            </w:rPr>
            <w:fldChar w:fldCharType="begin"/>
          </w:r>
          <w:r>
            <w:rPr>
              <w:color w:val="auto"/>
              <w:highlight w:val="none"/>
            </w:rPr>
            <w:instrText xml:space="preserve"> PAGEREF _Toc17009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640" w:firstLineChars="200"/>
            <w:jc w:val="both"/>
            <w:textAlignment w:val="auto"/>
            <w:rPr>
              <w:color w:val="auto"/>
              <w:highlight w:val="none"/>
            </w:rPr>
          </w:pPr>
          <w:r>
            <w:rPr>
              <w:color w:val="auto"/>
              <w:highlight w:val="none"/>
            </w:rPr>
            <w:fldChar w:fldCharType="begin"/>
          </w:r>
          <w:r>
            <w:rPr>
              <w:color w:val="auto"/>
              <w:highlight w:val="none"/>
            </w:rPr>
            <w:instrText xml:space="preserve"> HYPERLINK \l _Toc5934 </w:instrText>
          </w:r>
          <w:r>
            <w:rPr>
              <w:color w:val="auto"/>
              <w:highlight w:val="none"/>
            </w:rPr>
            <w:fldChar w:fldCharType="separate"/>
          </w:r>
          <w:r>
            <w:rPr>
              <w:color w:val="auto"/>
              <w:highlight w:val="none"/>
            </w:rPr>
            <w:t>（一）项目概况</w:t>
          </w:r>
          <w:r>
            <w:rPr>
              <w:color w:val="auto"/>
              <w:highlight w:val="none"/>
            </w:rPr>
            <w:tab/>
          </w:r>
          <w:r>
            <w:rPr>
              <w:color w:val="auto"/>
              <w:highlight w:val="none"/>
            </w:rPr>
            <w:fldChar w:fldCharType="begin"/>
          </w:r>
          <w:r>
            <w:rPr>
              <w:color w:val="auto"/>
              <w:highlight w:val="none"/>
            </w:rPr>
            <w:instrText xml:space="preserve"> PAGEREF _Toc5934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640" w:firstLineChars="200"/>
            <w:jc w:val="both"/>
            <w:textAlignment w:val="auto"/>
            <w:rPr>
              <w:color w:val="auto"/>
              <w:highlight w:val="none"/>
            </w:rPr>
          </w:pPr>
          <w:r>
            <w:rPr>
              <w:color w:val="auto"/>
              <w:highlight w:val="none"/>
            </w:rPr>
            <w:fldChar w:fldCharType="begin"/>
          </w:r>
          <w:r>
            <w:rPr>
              <w:color w:val="auto"/>
              <w:highlight w:val="none"/>
            </w:rPr>
            <w:instrText xml:space="preserve"> HYPERLINK \l _Toc7784 </w:instrText>
          </w:r>
          <w:r>
            <w:rPr>
              <w:color w:val="auto"/>
              <w:highlight w:val="none"/>
            </w:rPr>
            <w:fldChar w:fldCharType="separate"/>
          </w:r>
          <w:r>
            <w:rPr>
              <w:color w:val="auto"/>
              <w:highlight w:val="none"/>
            </w:rPr>
            <w:t>（二）项目绩效目标</w:t>
          </w:r>
          <w:r>
            <w:rPr>
              <w:color w:val="auto"/>
              <w:highlight w:val="none"/>
            </w:rPr>
            <w:tab/>
          </w:r>
          <w:r>
            <w:rPr>
              <w:color w:val="auto"/>
              <w:highlight w:val="none"/>
            </w:rPr>
            <w:fldChar w:fldCharType="begin"/>
          </w:r>
          <w:r>
            <w:rPr>
              <w:color w:val="auto"/>
              <w:highlight w:val="none"/>
            </w:rPr>
            <w:instrText xml:space="preserve"> PAGEREF _Toc7784 \h </w:instrText>
          </w:r>
          <w:r>
            <w:rPr>
              <w:color w:val="auto"/>
              <w:highlight w:val="none"/>
            </w:rPr>
            <w:fldChar w:fldCharType="separate"/>
          </w:r>
          <w:r>
            <w:rPr>
              <w:color w:val="auto"/>
              <w:highlight w:val="none"/>
            </w:rPr>
            <w:t>2</w:t>
          </w:r>
          <w:r>
            <w:rPr>
              <w:color w:val="auto"/>
              <w:highlight w:val="none"/>
            </w:rPr>
            <w:fldChar w:fldCharType="end"/>
          </w:r>
          <w:r>
            <w:rPr>
              <w:color w:val="auto"/>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0" w:firstLineChars="0"/>
            <w:jc w:val="both"/>
            <w:textAlignment w:val="auto"/>
            <w:rPr>
              <w:color w:val="auto"/>
              <w:highlight w:val="none"/>
            </w:rPr>
          </w:pPr>
          <w:r>
            <w:rPr>
              <w:color w:val="auto"/>
              <w:highlight w:val="none"/>
            </w:rPr>
            <w:fldChar w:fldCharType="begin"/>
          </w:r>
          <w:r>
            <w:rPr>
              <w:color w:val="auto"/>
              <w:highlight w:val="none"/>
            </w:rPr>
            <w:instrText xml:space="preserve"> HYPERLINK \l _Toc8412 </w:instrText>
          </w:r>
          <w:r>
            <w:rPr>
              <w:color w:val="auto"/>
              <w:highlight w:val="none"/>
            </w:rPr>
            <w:fldChar w:fldCharType="separate"/>
          </w:r>
          <w:r>
            <w:rPr>
              <w:rFonts w:hint="eastAsia"/>
              <w:color w:val="auto"/>
              <w:highlight w:val="none"/>
            </w:rPr>
            <w:t>二、绩效评价工作开展情况</w:t>
          </w:r>
          <w:r>
            <w:rPr>
              <w:color w:val="auto"/>
              <w:highlight w:val="none"/>
            </w:rPr>
            <w:tab/>
          </w:r>
          <w:r>
            <w:rPr>
              <w:color w:val="auto"/>
              <w:highlight w:val="none"/>
            </w:rPr>
            <w:fldChar w:fldCharType="begin"/>
          </w:r>
          <w:r>
            <w:rPr>
              <w:color w:val="auto"/>
              <w:highlight w:val="none"/>
            </w:rPr>
            <w:instrText xml:space="preserve"> PAGEREF _Toc8412 \h </w:instrText>
          </w:r>
          <w:r>
            <w:rPr>
              <w:color w:val="auto"/>
              <w:highlight w:val="none"/>
            </w:rPr>
            <w:fldChar w:fldCharType="separate"/>
          </w:r>
          <w:r>
            <w:rPr>
              <w:color w:val="auto"/>
              <w:highlight w:val="none"/>
            </w:rPr>
            <w:t>2</w:t>
          </w:r>
          <w:r>
            <w:rPr>
              <w:color w:val="auto"/>
              <w:highlight w:val="none"/>
            </w:rPr>
            <w:fldChar w:fldCharType="end"/>
          </w:r>
          <w:r>
            <w:rPr>
              <w:color w:val="auto"/>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640" w:firstLineChars="200"/>
            <w:jc w:val="both"/>
            <w:textAlignment w:val="auto"/>
            <w:rPr>
              <w:color w:val="auto"/>
              <w:highlight w:val="none"/>
            </w:rPr>
          </w:pPr>
          <w:r>
            <w:rPr>
              <w:color w:val="auto"/>
              <w:highlight w:val="none"/>
            </w:rPr>
            <w:fldChar w:fldCharType="begin"/>
          </w:r>
          <w:r>
            <w:rPr>
              <w:color w:val="auto"/>
              <w:highlight w:val="none"/>
            </w:rPr>
            <w:instrText xml:space="preserve"> HYPERLINK \l _Toc6090 </w:instrText>
          </w:r>
          <w:r>
            <w:rPr>
              <w:color w:val="auto"/>
              <w:highlight w:val="none"/>
            </w:rPr>
            <w:fldChar w:fldCharType="separate"/>
          </w:r>
          <w:r>
            <w:rPr>
              <w:rFonts w:hint="eastAsia"/>
              <w:color w:val="auto"/>
              <w:highlight w:val="none"/>
            </w:rPr>
            <w:t>（一）绩效评价目的、对象和范围</w:t>
          </w:r>
          <w:r>
            <w:rPr>
              <w:color w:val="auto"/>
              <w:highlight w:val="none"/>
            </w:rPr>
            <w:tab/>
          </w:r>
          <w:r>
            <w:rPr>
              <w:color w:val="auto"/>
              <w:highlight w:val="none"/>
            </w:rPr>
            <w:fldChar w:fldCharType="begin"/>
          </w:r>
          <w:r>
            <w:rPr>
              <w:color w:val="auto"/>
              <w:highlight w:val="none"/>
            </w:rPr>
            <w:instrText xml:space="preserve"> PAGEREF _Toc6090 \h </w:instrText>
          </w:r>
          <w:r>
            <w:rPr>
              <w:color w:val="auto"/>
              <w:highlight w:val="none"/>
            </w:rPr>
            <w:fldChar w:fldCharType="separate"/>
          </w:r>
          <w:r>
            <w:rPr>
              <w:color w:val="auto"/>
              <w:highlight w:val="none"/>
            </w:rPr>
            <w:t>2</w:t>
          </w:r>
          <w:r>
            <w:rPr>
              <w:color w:val="auto"/>
              <w:highlight w:val="none"/>
            </w:rPr>
            <w:fldChar w:fldCharType="end"/>
          </w:r>
          <w:r>
            <w:rPr>
              <w:color w:val="auto"/>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640" w:firstLineChars="200"/>
            <w:jc w:val="both"/>
            <w:textAlignment w:val="auto"/>
            <w:rPr>
              <w:color w:val="auto"/>
              <w:highlight w:val="none"/>
            </w:rPr>
          </w:pPr>
          <w:r>
            <w:rPr>
              <w:color w:val="auto"/>
              <w:highlight w:val="none"/>
            </w:rPr>
            <w:fldChar w:fldCharType="begin"/>
          </w:r>
          <w:r>
            <w:rPr>
              <w:color w:val="auto"/>
              <w:highlight w:val="none"/>
            </w:rPr>
            <w:instrText xml:space="preserve"> HYPERLINK \l _Toc24150 </w:instrText>
          </w:r>
          <w:r>
            <w:rPr>
              <w:color w:val="auto"/>
              <w:highlight w:val="none"/>
            </w:rPr>
            <w:fldChar w:fldCharType="separate"/>
          </w:r>
          <w:r>
            <w:rPr>
              <w:color w:val="auto"/>
              <w:highlight w:val="none"/>
            </w:rPr>
            <w:t>（二）</w:t>
          </w:r>
          <w:r>
            <w:rPr>
              <w:rFonts w:hint="eastAsia"/>
              <w:color w:val="auto"/>
              <w:highlight w:val="none"/>
            </w:rPr>
            <w:t>绩效评价工作过程</w:t>
          </w:r>
          <w:r>
            <w:rPr>
              <w:color w:val="auto"/>
              <w:highlight w:val="none"/>
            </w:rPr>
            <w:tab/>
          </w:r>
          <w:r>
            <w:rPr>
              <w:color w:val="auto"/>
              <w:highlight w:val="none"/>
            </w:rPr>
            <w:fldChar w:fldCharType="begin"/>
          </w:r>
          <w:r>
            <w:rPr>
              <w:color w:val="auto"/>
              <w:highlight w:val="none"/>
            </w:rPr>
            <w:instrText xml:space="preserve"> PAGEREF _Toc24150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0" w:firstLineChars="0"/>
            <w:jc w:val="both"/>
            <w:textAlignment w:val="auto"/>
            <w:rPr>
              <w:color w:val="auto"/>
              <w:highlight w:val="none"/>
            </w:rPr>
          </w:pPr>
          <w:r>
            <w:rPr>
              <w:color w:val="auto"/>
              <w:highlight w:val="none"/>
            </w:rPr>
            <w:fldChar w:fldCharType="begin"/>
          </w:r>
          <w:r>
            <w:rPr>
              <w:color w:val="auto"/>
              <w:highlight w:val="none"/>
            </w:rPr>
            <w:instrText xml:space="preserve"> HYPERLINK \l _Toc445 </w:instrText>
          </w:r>
          <w:r>
            <w:rPr>
              <w:color w:val="auto"/>
              <w:highlight w:val="none"/>
            </w:rPr>
            <w:fldChar w:fldCharType="separate"/>
          </w:r>
          <w:r>
            <w:rPr>
              <w:rFonts w:hint="eastAsia"/>
              <w:color w:val="auto"/>
              <w:highlight w:val="none"/>
            </w:rPr>
            <w:t>三、综合评价情况及评价结论</w:t>
          </w:r>
          <w:r>
            <w:rPr>
              <w:color w:val="auto"/>
              <w:highlight w:val="none"/>
            </w:rPr>
            <w:tab/>
          </w:r>
          <w:r>
            <w:rPr>
              <w:color w:val="auto"/>
              <w:highlight w:val="none"/>
            </w:rPr>
            <w:fldChar w:fldCharType="begin"/>
          </w:r>
          <w:r>
            <w:rPr>
              <w:color w:val="auto"/>
              <w:highlight w:val="none"/>
            </w:rPr>
            <w:instrText xml:space="preserve"> PAGEREF _Toc445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0" w:firstLineChars="0"/>
            <w:jc w:val="both"/>
            <w:textAlignment w:val="auto"/>
            <w:rPr>
              <w:color w:val="auto"/>
              <w:highlight w:val="none"/>
            </w:rPr>
          </w:pPr>
          <w:r>
            <w:rPr>
              <w:color w:val="auto"/>
              <w:highlight w:val="none"/>
            </w:rPr>
            <w:fldChar w:fldCharType="begin"/>
          </w:r>
          <w:r>
            <w:rPr>
              <w:color w:val="auto"/>
              <w:highlight w:val="none"/>
            </w:rPr>
            <w:instrText xml:space="preserve"> HYPERLINK \l _Toc32556 </w:instrText>
          </w:r>
          <w:r>
            <w:rPr>
              <w:color w:val="auto"/>
              <w:highlight w:val="none"/>
            </w:rPr>
            <w:fldChar w:fldCharType="separate"/>
          </w:r>
          <w:r>
            <w:rPr>
              <w:rFonts w:hint="eastAsia"/>
              <w:color w:val="auto"/>
              <w:highlight w:val="none"/>
            </w:rPr>
            <w:t>四、绩效评价指标分析</w:t>
          </w:r>
          <w:r>
            <w:rPr>
              <w:color w:val="auto"/>
              <w:highlight w:val="none"/>
            </w:rPr>
            <w:tab/>
          </w:r>
          <w:r>
            <w:rPr>
              <w:color w:val="auto"/>
              <w:highlight w:val="none"/>
            </w:rPr>
            <w:fldChar w:fldCharType="begin"/>
          </w:r>
          <w:r>
            <w:rPr>
              <w:color w:val="auto"/>
              <w:highlight w:val="none"/>
            </w:rPr>
            <w:instrText xml:space="preserve"> PAGEREF _Toc32556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640" w:firstLineChars="200"/>
            <w:jc w:val="both"/>
            <w:textAlignment w:val="auto"/>
            <w:rPr>
              <w:color w:val="auto"/>
              <w:highlight w:val="none"/>
            </w:rPr>
          </w:pPr>
          <w:r>
            <w:rPr>
              <w:color w:val="auto"/>
              <w:highlight w:val="none"/>
            </w:rPr>
            <w:fldChar w:fldCharType="begin"/>
          </w:r>
          <w:r>
            <w:rPr>
              <w:color w:val="auto"/>
              <w:highlight w:val="none"/>
            </w:rPr>
            <w:instrText xml:space="preserve"> HYPERLINK \l _Toc28901 </w:instrText>
          </w:r>
          <w:r>
            <w:rPr>
              <w:color w:val="auto"/>
              <w:highlight w:val="none"/>
            </w:rPr>
            <w:fldChar w:fldCharType="separate"/>
          </w:r>
          <w:r>
            <w:rPr>
              <w:rFonts w:hint="eastAsia"/>
              <w:color w:val="auto"/>
              <w:highlight w:val="none"/>
            </w:rPr>
            <w:t>（一）项目决策情况</w:t>
          </w:r>
          <w:r>
            <w:rPr>
              <w:color w:val="auto"/>
              <w:highlight w:val="none"/>
            </w:rPr>
            <w:tab/>
          </w:r>
          <w:r>
            <w:rPr>
              <w:color w:val="auto"/>
              <w:highlight w:val="none"/>
            </w:rPr>
            <w:fldChar w:fldCharType="begin"/>
          </w:r>
          <w:r>
            <w:rPr>
              <w:color w:val="auto"/>
              <w:highlight w:val="none"/>
            </w:rPr>
            <w:instrText xml:space="preserve"> PAGEREF _Toc28901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640" w:firstLineChars="200"/>
            <w:jc w:val="both"/>
            <w:textAlignment w:val="auto"/>
            <w:rPr>
              <w:color w:val="auto"/>
              <w:highlight w:val="none"/>
            </w:rPr>
          </w:pPr>
          <w:r>
            <w:rPr>
              <w:color w:val="auto"/>
              <w:highlight w:val="none"/>
            </w:rPr>
            <w:fldChar w:fldCharType="begin"/>
          </w:r>
          <w:r>
            <w:rPr>
              <w:color w:val="auto"/>
              <w:highlight w:val="none"/>
            </w:rPr>
            <w:instrText xml:space="preserve"> HYPERLINK \l _Toc31791 </w:instrText>
          </w:r>
          <w:r>
            <w:rPr>
              <w:color w:val="auto"/>
              <w:highlight w:val="none"/>
            </w:rPr>
            <w:fldChar w:fldCharType="separate"/>
          </w:r>
          <w:r>
            <w:rPr>
              <w:rFonts w:hint="eastAsia"/>
              <w:color w:val="auto"/>
              <w:highlight w:val="none"/>
            </w:rPr>
            <w:t>（二）项目过程情况</w:t>
          </w:r>
          <w:r>
            <w:rPr>
              <w:color w:val="auto"/>
              <w:highlight w:val="none"/>
            </w:rPr>
            <w:tab/>
          </w:r>
          <w:r>
            <w:rPr>
              <w:color w:val="auto"/>
              <w:highlight w:val="none"/>
            </w:rPr>
            <w:fldChar w:fldCharType="begin"/>
          </w:r>
          <w:r>
            <w:rPr>
              <w:color w:val="auto"/>
              <w:highlight w:val="none"/>
            </w:rPr>
            <w:instrText xml:space="preserve"> PAGEREF _Toc31791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640" w:firstLineChars="200"/>
            <w:jc w:val="both"/>
            <w:textAlignment w:val="auto"/>
            <w:rPr>
              <w:color w:val="auto"/>
              <w:highlight w:val="none"/>
            </w:rPr>
          </w:pPr>
          <w:r>
            <w:rPr>
              <w:color w:val="auto"/>
              <w:highlight w:val="none"/>
            </w:rPr>
            <w:fldChar w:fldCharType="begin"/>
          </w:r>
          <w:r>
            <w:rPr>
              <w:color w:val="auto"/>
              <w:highlight w:val="none"/>
            </w:rPr>
            <w:instrText xml:space="preserve"> HYPERLINK \l _Toc30431 </w:instrText>
          </w:r>
          <w:r>
            <w:rPr>
              <w:color w:val="auto"/>
              <w:highlight w:val="none"/>
            </w:rPr>
            <w:fldChar w:fldCharType="separate"/>
          </w:r>
          <w:r>
            <w:rPr>
              <w:rFonts w:hint="eastAsia"/>
              <w:color w:val="auto"/>
              <w:highlight w:val="none"/>
            </w:rPr>
            <w:t>（三）项目产出情况</w:t>
          </w:r>
          <w:r>
            <w:rPr>
              <w:color w:val="auto"/>
              <w:highlight w:val="none"/>
            </w:rPr>
            <w:tab/>
          </w:r>
          <w:r>
            <w:rPr>
              <w:color w:val="auto"/>
              <w:highlight w:val="none"/>
            </w:rPr>
            <w:fldChar w:fldCharType="begin"/>
          </w:r>
          <w:r>
            <w:rPr>
              <w:color w:val="auto"/>
              <w:highlight w:val="none"/>
            </w:rPr>
            <w:instrText xml:space="preserve"> PAGEREF _Toc30431 \h </w:instrText>
          </w:r>
          <w:r>
            <w:rPr>
              <w:color w:val="auto"/>
              <w:highlight w:val="none"/>
            </w:rPr>
            <w:fldChar w:fldCharType="separate"/>
          </w:r>
          <w:r>
            <w:rPr>
              <w:color w:val="auto"/>
              <w:highlight w:val="none"/>
            </w:rPr>
            <w:t>13</w:t>
          </w:r>
          <w:r>
            <w:rPr>
              <w:color w:val="auto"/>
              <w:highlight w:val="none"/>
            </w:rPr>
            <w:fldChar w:fldCharType="end"/>
          </w:r>
          <w:r>
            <w:rPr>
              <w:color w:val="auto"/>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640" w:firstLineChars="200"/>
            <w:jc w:val="both"/>
            <w:textAlignment w:val="auto"/>
            <w:rPr>
              <w:color w:val="auto"/>
              <w:highlight w:val="none"/>
            </w:rPr>
          </w:pPr>
          <w:r>
            <w:rPr>
              <w:color w:val="auto"/>
              <w:highlight w:val="none"/>
            </w:rPr>
            <w:fldChar w:fldCharType="begin"/>
          </w:r>
          <w:r>
            <w:rPr>
              <w:color w:val="auto"/>
              <w:highlight w:val="none"/>
            </w:rPr>
            <w:instrText xml:space="preserve"> HYPERLINK \l _Toc14171 </w:instrText>
          </w:r>
          <w:r>
            <w:rPr>
              <w:color w:val="auto"/>
              <w:highlight w:val="none"/>
            </w:rPr>
            <w:fldChar w:fldCharType="separate"/>
          </w:r>
          <w:r>
            <w:rPr>
              <w:rFonts w:hint="eastAsia"/>
              <w:color w:val="auto"/>
              <w:highlight w:val="none"/>
            </w:rPr>
            <w:t>（四）项目效益情况</w:t>
          </w:r>
          <w:r>
            <w:rPr>
              <w:color w:val="auto"/>
              <w:highlight w:val="none"/>
            </w:rPr>
            <w:tab/>
          </w:r>
          <w:r>
            <w:rPr>
              <w:color w:val="auto"/>
              <w:highlight w:val="none"/>
            </w:rPr>
            <w:fldChar w:fldCharType="begin"/>
          </w:r>
          <w:r>
            <w:rPr>
              <w:color w:val="auto"/>
              <w:highlight w:val="none"/>
            </w:rPr>
            <w:instrText xml:space="preserve"> PAGEREF _Toc14171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0" w:firstLineChars="0"/>
            <w:jc w:val="both"/>
            <w:textAlignment w:val="auto"/>
            <w:rPr>
              <w:color w:val="auto"/>
              <w:highlight w:val="none"/>
            </w:rPr>
          </w:pPr>
          <w:r>
            <w:rPr>
              <w:color w:val="auto"/>
              <w:highlight w:val="none"/>
            </w:rPr>
            <w:fldChar w:fldCharType="begin"/>
          </w:r>
          <w:r>
            <w:rPr>
              <w:color w:val="auto"/>
              <w:highlight w:val="none"/>
            </w:rPr>
            <w:instrText xml:space="preserve"> HYPERLINK \l _Toc4529 </w:instrText>
          </w:r>
          <w:r>
            <w:rPr>
              <w:color w:val="auto"/>
              <w:highlight w:val="none"/>
            </w:rPr>
            <w:fldChar w:fldCharType="separate"/>
          </w:r>
          <w:r>
            <w:rPr>
              <w:rFonts w:hint="eastAsia"/>
              <w:color w:val="auto"/>
              <w:highlight w:val="none"/>
              <w:lang w:val="en-US" w:eastAsia="zh-CN"/>
            </w:rPr>
            <w:t>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_Toc4529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640" w:firstLineChars="200"/>
            <w:jc w:val="both"/>
            <w:textAlignment w:val="auto"/>
            <w:rPr>
              <w:color w:val="auto"/>
              <w:highlight w:val="none"/>
            </w:rPr>
          </w:pPr>
          <w:r>
            <w:rPr>
              <w:color w:val="auto"/>
              <w:highlight w:val="none"/>
            </w:rPr>
            <w:fldChar w:fldCharType="begin"/>
          </w:r>
          <w:r>
            <w:rPr>
              <w:color w:val="auto"/>
              <w:highlight w:val="none"/>
            </w:rPr>
            <w:instrText xml:space="preserve"> HYPERLINK \l _Toc26369 </w:instrText>
          </w:r>
          <w:r>
            <w:rPr>
              <w:color w:val="auto"/>
              <w:highlight w:val="none"/>
            </w:rPr>
            <w:fldChar w:fldCharType="separate"/>
          </w:r>
          <w:r>
            <w:rPr>
              <w:rFonts w:hint="eastAsia"/>
              <w:color w:val="auto"/>
              <w:highlight w:val="none"/>
              <w:lang w:val="en-US" w:eastAsia="zh-CN"/>
            </w:rPr>
            <w:t>（一）主要经验及做法</w:t>
          </w:r>
          <w:r>
            <w:rPr>
              <w:color w:val="auto"/>
              <w:highlight w:val="none"/>
            </w:rPr>
            <w:tab/>
          </w:r>
          <w:r>
            <w:rPr>
              <w:color w:val="auto"/>
              <w:highlight w:val="none"/>
            </w:rPr>
            <w:fldChar w:fldCharType="begin"/>
          </w:r>
          <w:r>
            <w:rPr>
              <w:color w:val="auto"/>
              <w:highlight w:val="none"/>
            </w:rPr>
            <w:instrText xml:space="preserve"> PAGEREF _Toc26369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640" w:firstLineChars="200"/>
            <w:jc w:val="both"/>
            <w:textAlignment w:val="auto"/>
            <w:rPr>
              <w:color w:val="auto"/>
              <w:highlight w:val="none"/>
            </w:rPr>
          </w:pPr>
          <w:r>
            <w:rPr>
              <w:color w:val="auto"/>
              <w:highlight w:val="none"/>
            </w:rPr>
            <w:fldChar w:fldCharType="begin"/>
          </w:r>
          <w:r>
            <w:rPr>
              <w:color w:val="auto"/>
              <w:highlight w:val="none"/>
            </w:rPr>
            <w:instrText xml:space="preserve"> HYPERLINK \l _Toc21258 </w:instrText>
          </w:r>
          <w:r>
            <w:rPr>
              <w:color w:val="auto"/>
              <w:highlight w:val="none"/>
            </w:rPr>
            <w:fldChar w:fldCharType="separate"/>
          </w:r>
          <w:r>
            <w:rPr>
              <w:rFonts w:hint="eastAsia"/>
              <w:color w:val="auto"/>
              <w:highlight w:val="none"/>
              <w:lang w:val="en-US" w:eastAsia="zh-CN"/>
            </w:rPr>
            <w:t>（二）存在问题及原因分析</w:t>
          </w:r>
          <w:r>
            <w:rPr>
              <w:color w:val="auto"/>
              <w:highlight w:val="none"/>
            </w:rPr>
            <w:tab/>
          </w:r>
          <w:r>
            <w:rPr>
              <w:color w:val="auto"/>
              <w:highlight w:val="none"/>
            </w:rPr>
            <w:fldChar w:fldCharType="begin"/>
          </w:r>
          <w:r>
            <w:rPr>
              <w:color w:val="auto"/>
              <w:highlight w:val="none"/>
            </w:rPr>
            <w:instrText xml:space="preserve"> PAGEREF _Toc21258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0" w:firstLineChars="0"/>
            <w:jc w:val="both"/>
            <w:textAlignment w:val="auto"/>
            <w:rPr>
              <w:color w:val="auto"/>
              <w:highlight w:val="none"/>
            </w:rPr>
          </w:pPr>
          <w:r>
            <w:rPr>
              <w:color w:val="auto"/>
              <w:highlight w:val="none"/>
            </w:rPr>
            <w:fldChar w:fldCharType="begin"/>
          </w:r>
          <w:r>
            <w:rPr>
              <w:color w:val="auto"/>
              <w:highlight w:val="none"/>
            </w:rPr>
            <w:instrText xml:space="preserve"> HYPERLINK \l _Toc16429 </w:instrText>
          </w:r>
          <w:r>
            <w:rPr>
              <w:color w:val="auto"/>
              <w:highlight w:val="none"/>
            </w:rPr>
            <w:fldChar w:fldCharType="separate"/>
          </w:r>
          <w:r>
            <w:rPr>
              <w:rFonts w:hint="eastAsia"/>
              <w:color w:val="auto"/>
              <w:highlight w:val="none"/>
              <w:lang w:val="en-US" w:eastAsia="zh-CN"/>
            </w:rPr>
            <w:t>六、有关建议</w:t>
          </w:r>
          <w:r>
            <w:rPr>
              <w:color w:val="auto"/>
              <w:highlight w:val="none"/>
            </w:rPr>
            <w:tab/>
          </w:r>
          <w:r>
            <w:rPr>
              <w:color w:val="auto"/>
              <w:highlight w:val="none"/>
            </w:rPr>
            <w:fldChar w:fldCharType="begin"/>
          </w:r>
          <w:r>
            <w:rPr>
              <w:color w:val="auto"/>
              <w:highlight w:val="none"/>
            </w:rPr>
            <w:instrText xml:space="preserve"> PAGEREF _Toc16429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ind w:left="0" w:leftChars="0" w:firstLine="0" w:firstLineChars="0"/>
            <w:jc w:val="both"/>
            <w:textAlignment w:val="auto"/>
            <w:rPr>
              <w:color w:val="auto"/>
              <w:highlight w:val="none"/>
            </w:rPr>
          </w:pPr>
          <w:r>
            <w:rPr>
              <w:color w:val="auto"/>
              <w:highlight w:val="none"/>
            </w:rPr>
            <w:fldChar w:fldCharType="begin"/>
          </w:r>
          <w:r>
            <w:rPr>
              <w:color w:val="auto"/>
              <w:highlight w:val="none"/>
            </w:rPr>
            <w:instrText xml:space="preserve"> HYPERLINK \l _Toc28177 </w:instrText>
          </w:r>
          <w:r>
            <w:rPr>
              <w:color w:val="auto"/>
              <w:highlight w:val="none"/>
            </w:rPr>
            <w:fldChar w:fldCharType="separate"/>
          </w:r>
          <w:r>
            <w:rPr>
              <w:rFonts w:hint="eastAsia"/>
              <w:color w:val="auto"/>
              <w:highlight w:val="none"/>
            </w:rPr>
            <w:t>七、其他需要说明的问题</w:t>
          </w:r>
          <w:r>
            <w:rPr>
              <w:color w:val="auto"/>
              <w:highlight w:val="none"/>
            </w:rPr>
            <w:tab/>
          </w:r>
          <w:r>
            <w:rPr>
              <w:color w:val="auto"/>
              <w:highlight w:val="none"/>
            </w:rPr>
            <w:fldChar w:fldCharType="begin"/>
          </w:r>
          <w:r>
            <w:rPr>
              <w:color w:val="auto"/>
              <w:highlight w:val="none"/>
            </w:rPr>
            <w:instrText xml:space="preserve"> PAGEREF _Toc28177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pStyle w:val="12"/>
            <w:keepNext w:val="0"/>
            <w:keepLines w:val="0"/>
            <w:pageBreakBefore w:val="0"/>
            <w:tabs>
              <w:tab w:val="right" w:leader="dot" w:pos="8306"/>
            </w:tabs>
            <w:kinsoku/>
            <w:wordWrap/>
            <w:overflowPunct/>
            <w:topLinePunct w:val="0"/>
            <w:autoSpaceDE/>
            <w:autoSpaceDN/>
            <w:bidi w:val="0"/>
            <w:adjustRightInd/>
            <w:snapToGrid/>
            <w:ind w:left="0" w:leftChars="0" w:firstLine="640" w:firstLineChars="200"/>
            <w:jc w:val="both"/>
            <w:textAlignment w:val="auto"/>
            <w:rPr>
              <w:color w:val="auto"/>
              <w:highlight w:val="none"/>
            </w:rPr>
          </w:pPr>
        </w:p>
        <w:p>
          <w:pPr>
            <w:keepNext w:val="0"/>
            <w:keepLines w:val="0"/>
            <w:pageBreakBefore w:val="0"/>
            <w:kinsoku/>
            <w:wordWrap/>
            <w:overflowPunct/>
            <w:topLinePunct w:val="0"/>
            <w:autoSpaceDE/>
            <w:autoSpaceDN/>
            <w:bidi w:val="0"/>
            <w:adjustRightInd/>
            <w:snapToGrid/>
            <w:ind w:left="0" w:leftChars="0" w:firstLine="640" w:firstLineChars="200"/>
            <w:jc w:val="both"/>
            <w:textAlignment w:val="auto"/>
            <w:rPr>
              <w:color w:val="auto"/>
              <w:highlight w:val="none"/>
            </w:rPr>
          </w:pPr>
          <w:r>
            <w:rPr>
              <w:color w:val="auto"/>
              <w:highlight w:val="none"/>
            </w:rPr>
            <w:fldChar w:fldCharType="end"/>
          </w:r>
        </w:p>
      </w:sdtContent>
    </w:sdt>
    <w:p>
      <w:pPr>
        <w:pStyle w:val="4"/>
        <w:bidi w:val="0"/>
        <w:outlineLvl w:val="0"/>
        <w:rPr>
          <w:color w:val="auto"/>
          <w:highlight w:val="none"/>
        </w:rPr>
        <w:sectPr>
          <w:footerReference r:id="rId3" w:type="default"/>
          <w:pgSz w:w="11906" w:h="16838"/>
          <w:pgMar w:top="1440" w:right="1800" w:bottom="1440" w:left="1800" w:header="851" w:footer="992" w:gutter="0"/>
          <w:pgNumType w:fmt="decimal" w:start="1"/>
          <w:cols w:space="425" w:num="1"/>
          <w:docGrid w:type="lines" w:linePitch="312" w:charSpace="0"/>
        </w:sectPr>
      </w:pPr>
      <w:bookmarkStart w:id="3" w:name="_Toc17009"/>
    </w:p>
    <w:p>
      <w:pPr>
        <w:pStyle w:val="4"/>
        <w:bidi w:val="0"/>
        <w:outlineLvl w:val="0"/>
        <w:rPr>
          <w:color w:val="auto"/>
          <w:highlight w:val="none"/>
        </w:rPr>
      </w:pPr>
      <w:r>
        <w:rPr>
          <w:color w:val="auto"/>
          <w:highlight w:val="none"/>
        </w:rPr>
        <w:t>一、基本情况</w:t>
      </w:r>
      <w:bookmarkEnd w:id="2"/>
      <w:bookmarkEnd w:id="3"/>
    </w:p>
    <w:p>
      <w:pPr>
        <w:pStyle w:val="2"/>
        <w:bidi w:val="0"/>
        <w:outlineLvl w:val="1"/>
        <w:rPr>
          <w:color w:val="auto"/>
          <w:highlight w:val="none"/>
        </w:rPr>
      </w:pPr>
      <w:bookmarkStart w:id="4" w:name="_Toc8971"/>
      <w:bookmarkStart w:id="5" w:name="_Toc5934"/>
      <w:r>
        <w:rPr>
          <w:color w:val="auto"/>
          <w:highlight w:val="none"/>
        </w:rPr>
        <w:t>（一）项目概况</w:t>
      </w:r>
      <w:bookmarkEnd w:id="4"/>
      <w:bookmarkEnd w:id="5"/>
    </w:p>
    <w:p>
      <w:pPr>
        <w:bidi w:val="0"/>
        <w:rPr>
          <w:b/>
          <w:bCs/>
          <w:color w:val="auto"/>
          <w:highlight w:val="none"/>
        </w:rPr>
      </w:pPr>
      <w:r>
        <w:rPr>
          <w:b/>
          <w:bCs/>
          <w:color w:val="auto"/>
          <w:highlight w:val="none"/>
        </w:rPr>
        <w:t>1、项目背景</w:t>
      </w:r>
    </w:p>
    <w:p>
      <w:pPr>
        <w:spacing w:line="600" w:lineRule="exact"/>
        <w:ind w:firstLine="640" w:firstLineChars="20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全面贯彻党的</w:t>
      </w:r>
      <w:r>
        <w:rPr>
          <w:rFonts w:hint="eastAsia" w:ascii="仿宋_GB2312" w:hAnsi="仿宋_GB2312" w:cs="仿宋_GB2312"/>
          <w:b w:val="0"/>
          <w:bCs w:val="0"/>
          <w:snapToGrid w:val="0"/>
          <w:color w:val="auto"/>
          <w:kern w:val="2"/>
          <w:sz w:val="32"/>
          <w:szCs w:val="32"/>
          <w:highlight w:val="none"/>
          <w:lang w:val="en-US" w:eastAsia="zh-CN" w:bidi="ar-SA"/>
        </w:rPr>
        <w:t>二十大</w:t>
      </w:r>
      <w:r>
        <w:rPr>
          <w:rFonts w:hint="eastAsia" w:ascii="仿宋_GB2312" w:hAnsi="仿宋_GB2312" w:eastAsia="仿宋_GB2312" w:cs="仿宋_GB2312"/>
          <w:b w:val="0"/>
          <w:bCs w:val="0"/>
          <w:snapToGrid w:val="0"/>
          <w:color w:val="auto"/>
          <w:kern w:val="2"/>
          <w:sz w:val="32"/>
          <w:szCs w:val="32"/>
          <w:highlight w:val="none"/>
          <w:lang w:val="en-US" w:eastAsia="zh-CN" w:bidi="ar-SA"/>
        </w:rPr>
        <w:t>精神，以习近平总书记“加快生态文明体制改革，建设美丽新中国”为指导思想，坚持和完善生态文明制度体系，促进人与自然和谐共生。</w:t>
      </w:r>
      <w:r>
        <w:rPr>
          <w:rFonts w:hint="eastAsia" w:ascii="仿宋_GB2312" w:hAnsi="仿宋_GB2312" w:cs="仿宋_GB2312"/>
          <w:b w:val="0"/>
          <w:bCs w:val="0"/>
          <w:snapToGrid w:val="0"/>
          <w:color w:val="auto"/>
          <w:kern w:val="2"/>
          <w:sz w:val="32"/>
          <w:szCs w:val="32"/>
          <w:highlight w:val="none"/>
          <w:lang w:val="en-US" w:eastAsia="zh-CN" w:bidi="ar-SA"/>
        </w:rPr>
        <w:t>以</w:t>
      </w:r>
      <w:r>
        <w:rPr>
          <w:rFonts w:hint="eastAsia" w:ascii="仿宋_GB2312" w:hAnsi="仿宋_GB2312" w:eastAsia="仿宋_GB2312" w:cs="仿宋_GB2312"/>
          <w:b w:val="0"/>
          <w:bCs w:val="0"/>
          <w:snapToGrid w:val="0"/>
          <w:color w:val="auto"/>
          <w:kern w:val="2"/>
          <w:sz w:val="32"/>
          <w:szCs w:val="32"/>
          <w:highlight w:val="none"/>
          <w:lang w:val="en-US" w:eastAsia="zh-CN" w:bidi="ar-SA"/>
        </w:rPr>
        <w:t>《新疆维吾尔自治区林业改革发展资金管理实施细则&gt;的通知》（新财建〔2019〕90号）文件为依据，根据《关于提前下达2023年中央财政林业草原生态保护恢复资金建设任务的通知》（新林规字〔2022〕260号）文件通知要求，按照“落实主体、维护权益、强化保护、科学利用”的总体要求，进一步发挥生态功能，建立行政责任、管护责任、监管责任等制度，落实责、权、利相统一的公益林管护新机制，使公益林得到更好的保护和发展。</w:t>
      </w:r>
    </w:p>
    <w:p>
      <w:pPr>
        <w:bidi w:val="0"/>
        <w:rPr>
          <w:b/>
          <w:bCs/>
          <w:color w:val="auto"/>
          <w:highlight w:val="none"/>
        </w:rPr>
      </w:pPr>
      <w:r>
        <w:rPr>
          <w:b/>
          <w:bCs/>
          <w:color w:val="auto"/>
          <w:highlight w:val="none"/>
        </w:rPr>
        <w:t>2、项目主要内容</w:t>
      </w:r>
    </w:p>
    <w:p>
      <w:pPr>
        <w:spacing w:line="600" w:lineRule="exact"/>
        <w:ind w:firstLine="640" w:firstLineChars="20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该项目资金主要用于加强我县245.69万亩国家级公益林管护</w:t>
      </w:r>
      <w:r>
        <w:rPr>
          <w:rFonts w:hint="eastAsia" w:ascii="仿宋_GB2312" w:hAnsi="仿宋_GB2312" w:cs="仿宋_GB2312"/>
          <w:b w:val="0"/>
          <w:bCs w:val="0"/>
          <w:snapToGrid w:val="0"/>
          <w:color w:val="auto"/>
          <w:kern w:val="2"/>
          <w:sz w:val="32"/>
          <w:szCs w:val="32"/>
          <w:highlight w:val="none"/>
          <w:lang w:val="en-US" w:eastAsia="zh-CN" w:bidi="ar-SA"/>
        </w:rPr>
        <w:t>。</w:t>
      </w:r>
    </w:p>
    <w:p>
      <w:pPr>
        <w:spacing w:line="600" w:lineRule="exact"/>
        <w:ind w:firstLine="643" w:firstLineChars="200"/>
        <w:rPr>
          <w:rFonts w:hint="eastAsia" w:ascii="仿宋_GB2312" w:hAnsi="仿宋_GB2312" w:eastAsia="仿宋_GB2312" w:cs="仿宋_GB2312"/>
          <w:b/>
          <w:bCs/>
          <w:snapToGrid w:val="0"/>
          <w:color w:val="auto"/>
          <w:kern w:val="2"/>
          <w:sz w:val="32"/>
          <w:szCs w:val="32"/>
          <w:highlight w:val="none"/>
          <w:lang w:val="en-US" w:eastAsia="zh-CN" w:bidi="ar-SA"/>
        </w:rPr>
      </w:pPr>
      <w:r>
        <w:rPr>
          <w:rFonts w:hint="eastAsia" w:ascii="仿宋_GB2312" w:hAnsi="仿宋_GB2312" w:eastAsia="仿宋_GB2312" w:cs="仿宋_GB2312"/>
          <w:b/>
          <w:bCs/>
          <w:snapToGrid w:val="0"/>
          <w:color w:val="auto"/>
          <w:kern w:val="2"/>
          <w:sz w:val="32"/>
          <w:szCs w:val="32"/>
          <w:highlight w:val="none"/>
          <w:lang w:val="en-US" w:eastAsia="zh-CN" w:bidi="ar-SA"/>
        </w:rPr>
        <w:t>3、项目实施情况</w:t>
      </w:r>
    </w:p>
    <w:p>
      <w:pPr>
        <w:bidi w:val="0"/>
        <w:rPr>
          <w:rFonts w:hint="eastAsia" w:ascii="Times New Roman" w:hAnsi="Times New Roman" w:eastAsia="方正仿宋_GBK" w:cs="方正仿宋_GBK"/>
          <w:i w:val="0"/>
          <w:caps w:val="0"/>
          <w:color w:val="auto"/>
          <w:spacing w:val="0"/>
          <w:kern w:val="0"/>
          <w:sz w:val="31"/>
          <w:szCs w:val="31"/>
          <w:highlight w:val="none"/>
          <w:lang w:val="en-US" w:eastAsia="zh-CN" w:bidi="ar"/>
        </w:rPr>
      </w:pPr>
      <w:r>
        <w:rPr>
          <w:rFonts w:hint="eastAsia" w:ascii="Times New Roman" w:hAnsi="Times New Roman" w:eastAsia="方正仿宋_GBK" w:cs="方正仿宋_GBK"/>
          <w:i w:val="0"/>
          <w:caps w:val="0"/>
          <w:color w:val="auto"/>
          <w:spacing w:val="0"/>
          <w:kern w:val="0"/>
          <w:sz w:val="31"/>
          <w:szCs w:val="31"/>
          <w:highlight w:val="none"/>
          <w:lang w:val="en-US" w:eastAsia="zh-CN" w:bidi="ar"/>
        </w:rPr>
        <w:t>主要为直接管护支出及管护站管理支出</w:t>
      </w:r>
    </w:p>
    <w:p>
      <w:pPr>
        <w:bidi w:val="0"/>
        <w:rPr>
          <w:b/>
          <w:bCs/>
          <w:color w:val="auto"/>
          <w:highlight w:val="none"/>
        </w:rPr>
      </w:pPr>
      <w:r>
        <w:rPr>
          <w:rFonts w:hint="eastAsia"/>
          <w:b/>
          <w:bCs/>
          <w:color w:val="auto"/>
          <w:highlight w:val="none"/>
        </w:rPr>
        <w:t>4、资金投入情况</w:t>
      </w:r>
    </w:p>
    <w:p>
      <w:pPr>
        <w:spacing w:line="600" w:lineRule="exact"/>
        <w:ind w:firstLine="640" w:firstLineChars="20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根据《关于提前下达2023年中央林业草原生态保护恢复资金预算的通知》</w:t>
      </w:r>
      <w:r>
        <w:rPr>
          <w:rFonts w:hint="eastAsia" w:ascii="Times New Roman" w:hAnsi="Times New Roman" w:eastAsia="方正仿宋_GBK" w:cs="方正仿宋_GBK"/>
          <w:i w:val="0"/>
          <w:caps w:val="0"/>
          <w:color w:val="auto"/>
          <w:spacing w:val="0"/>
          <w:kern w:val="0"/>
          <w:sz w:val="31"/>
          <w:szCs w:val="31"/>
          <w:highlight w:val="none"/>
          <w:lang w:val="en-US" w:eastAsia="zh-CN" w:bidi="ar"/>
        </w:rPr>
        <w:t>（巴财建〔2022〕132号）</w:t>
      </w:r>
      <w:r>
        <w:rPr>
          <w:rFonts w:hint="eastAsia" w:ascii="仿宋_GB2312" w:hAnsi="仿宋_GB2312" w:eastAsia="仿宋_GB2312" w:cs="仿宋_GB2312"/>
          <w:b w:val="0"/>
          <w:bCs w:val="0"/>
          <w:snapToGrid w:val="0"/>
          <w:color w:val="auto"/>
          <w:kern w:val="2"/>
          <w:sz w:val="32"/>
          <w:szCs w:val="32"/>
          <w:highlight w:val="none"/>
          <w:lang w:val="en-US" w:eastAsia="zh-CN" w:bidi="ar-SA"/>
        </w:rPr>
        <w:t>文件要求，下达2023年中央财政林业草原生态保护恢复资金国有林保护修复-国有国家级公益林管护补助</w:t>
      </w:r>
      <w:r>
        <w:rPr>
          <w:rFonts w:hint="eastAsia" w:ascii="仿宋_GB2312" w:hAnsi="仿宋_GB2312" w:cs="仿宋_GB2312"/>
          <w:b w:val="0"/>
          <w:bCs w:val="0"/>
          <w:snapToGrid w:val="0"/>
          <w:color w:val="auto"/>
          <w:kern w:val="2"/>
          <w:sz w:val="32"/>
          <w:szCs w:val="32"/>
          <w:highlight w:val="none"/>
          <w:lang w:val="en-US" w:eastAsia="zh-CN" w:bidi="ar-SA"/>
        </w:rPr>
        <w:t>997</w:t>
      </w:r>
      <w:r>
        <w:rPr>
          <w:rFonts w:hint="eastAsia" w:ascii="仿宋_GB2312" w:hAnsi="仿宋_GB2312" w:eastAsia="仿宋_GB2312" w:cs="仿宋_GB2312"/>
          <w:b w:val="0"/>
          <w:bCs w:val="0"/>
          <w:snapToGrid w:val="0"/>
          <w:color w:val="auto"/>
          <w:kern w:val="2"/>
          <w:sz w:val="32"/>
          <w:szCs w:val="32"/>
          <w:highlight w:val="none"/>
          <w:lang w:val="en-US" w:eastAsia="zh-CN" w:bidi="ar-SA"/>
        </w:rPr>
        <w:t>万元。</w:t>
      </w:r>
    </w:p>
    <w:p>
      <w:pPr>
        <w:spacing w:line="600" w:lineRule="exact"/>
        <w:ind w:firstLine="640" w:firstLineChars="200"/>
        <w:rPr>
          <w:rFonts w:hint="default"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实施2023年中央财政林业草原生态保护恢复资金国有林保护修复-国有国家级公益林管护补助投入</w:t>
      </w:r>
      <w:r>
        <w:rPr>
          <w:rFonts w:hint="eastAsia" w:ascii="仿宋_GB2312" w:hAnsi="仿宋_GB2312" w:cs="仿宋_GB2312"/>
          <w:b w:val="0"/>
          <w:bCs w:val="0"/>
          <w:snapToGrid w:val="0"/>
          <w:color w:val="auto"/>
          <w:kern w:val="2"/>
          <w:sz w:val="32"/>
          <w:szCs w:val="32"/>
          <w:highlight w:val="none"/>
          <w:lang w:val="en-US" w:eastAsia="zh-CN" w:bidi="ar-SA"/>
        </w:rPr>
        <w:t>997</w:t>
      </w:r>
      <w:r>
        <w:rPr>
          <w:rFonts w:hint="eastAsia" w:ascii="仿宋_GB2312" w:hAnsi="仿宋_GB2312" w:eastAsia="仿宋_GB2312" w:cs="仿宋_GB2312"/>
          <w:b w:val="0"/>
          <w:bCs w:val="0"/>
          <w:snapToGrid w:val="0"/>
          <w:color w:val="auto"/>
          <w:kern w:val="2"/>
          <w:sz w:val="32"/>
          <w:szCs w:val="32"/>
          <w:highlight w:val="none"/>
          <w:lang w:val="en-US" w:eastAsia="zh-CN" w:bidi="ar-SA"/>
        </w:rPr>
        <w:t>万元，全部为中央财政林业草原生态保护恢复资金。</w:t>
      </w:r>
    </w:p>
    <w:p>
      <w:pPr>
        <w:bidi w:val="0"/>
        <w:rPr>
          <w:b/>
          <w:bCs/>
          <w:color w:val="auto"/>
          <w:highlight w:val="none"/>
        </w:rPr>
      </w:pPr>
      <w:r>
        <w:rPr>
          <w:rFonts w:hint="eastAsia"/>
          <w:b/>
          <w:bCs/>
          <w:color w:val="auto"/>
          <w:highlight w:val="none"/>
        </w:rPr>
        <w:t>5、资金使用情况</w:t>
      </w:r>
    </w:p>
    <w:p>
      <w:pPr>
        <w:spacing w:line="600" w:lineRule="exact"/>
        <w:ind w:firstLine="640" w:firstLineChars="20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本项目年初预算数</w:t>
      </w:r>
      <w:r>
        <w:rPr>
          <w:rFonts w:hint="eastAsia" w:ascii="仿宋_GB2312" w:hAnsi="仿宋_GB2312" w:cs="仿宋_GB2312"/>
          <w:b w:val="0"/>
          <w:bCs w:val="0"/>
          <w:snapToGrid w:val="0"/>
          <w:color w:val="auto"/>
          <w:kern w:val="2"/>
          <w:sz w:val="32"/>
          <w:szCs w:val="32"/>
          <w:highlight w:val="none"/>
          <w:lang w:val="en-US" w:eastAsia="zh-CN" w:bidi="ar-SA"/>
        </w:rPr>
        <w:t>997</w:t>
      </w:r>
      <w:r>
        <w:rPr>
          <w:rFonts w:hint="eastAsia" w:ascii="仿宋_GB2312" w:hAnsi="仿宋_GB2312" w:eastAsia="仿宋_GB2312" w:cs="仿宋_GB2312"/>
          <w:b w:val="0"/>
          <w:bCs w:val="0"/>
          <w:snapToGrid w:val="0"/>
          <w:color w:val="auto"/>
          <w:kern w:val="2"/>
          <w:sz w:val="32"/>
          <w:szCs w:val="32"/>
          <w:highlight w:val="none"/>
          <w:lang w:val="en-US" w:eastAsia="zh-CN" w:bidi="ar-SA"/>
        </w:rPr>
        <w:t>万元，实际到位资金</w:t>
      </w:r>
      <w:r>
        <w:rPr>
          <w:rFonts w:hint="eastAsia" w:ascii="仿宋_GB2312" w:hAnsi="仿宋_GB2312" w:cs="仿宋_GB2312"/>
          <w:b w:val="0"/>
          <w:bCs w:val="0"/>
          <w:snapToGrid w:val="0"/>
          <w:color w:val="auto"/>
          <w:kern w:val="2"/>
          <w:sz w:val="32"/>
          <w:szCs w:val="32"/>
          <w:highlight w:val="none"/>
          <w:lang w:val="en-US" w:eastAsia="zh-CN" w:bidi="ar-SA"/>
        </w:rPr>
        <w:t>997</w:t>
      </w:r>
      <w:r>
        <w:rPr>
          <w:rFonts w:hint="eastAsia" w:ascii="仿宋_GB2312" w:hAnsi="仿宋_GB2312" w:eastAsia="仿宋_GB2312" w:cs="仿宋_GB2312"/>
          <w:b w:val="0"/>
          <w:bCs w:val="0"/>
          <w:snapToGrid w:val="0"/>
          <w:color w:val="auto"/>
          <w:kern w:val="2"/>
          <w:sz w:val="32"/>
          <w:szCs w:val="32"/>
          <w:highlight w:val="none"/>
          <w:lang w:val="en-US" w:eastAsia="zh-CN" w:bidi="ar-SA"/>
        </w:rPr>
        <w:t>万元。截止</w:t>
      </w:r>
      <w:r>
        <w:rPr>
          <w:rFonts w:hint="eastAsia" w:ascii="仿宋_GB2312" w:hAnsi="仿宋_GB2312" w:cs="仿宋_GB2312"/>
          <w:b w:val="0"/>
          <w:bCs w:val="0"/>
          <w:snapToGrid w:val="0"/>
          <w:color w:val="auto"/>
          <w:kern w:val="2"/>
          <w:sz w:val="32"/>
          <w:szCs w:val="32"/>
          <w:highlight w:val="none"/>
          <w:lang w:val="en-US" w:eastAsia="zh-CN" w:bidi="ar-SA"/>
        </w:rPr>
        <w:t>2023年12月31日</w:t>
      </w:r>
      <w:r>
        <w:rPr>
          <w:rFonts w:hint="eastAsia" w:ascii="仿宋_GB2312" w:hAnsi="仿宋_GB2312" w:eastAsia="仿宋_GB2312" w:cs="仿宋_GB2312"/>
          <w:b w:val="0"/>
          <w:bCs w:val="0"/>
          <w:snapToGrid w:val="0"/>
          <w:color w:val="auto"/>
          <w:kern w:val="2"/>
          <w:sz w:val="32"/>
          <w:szCs w:val="32"/>
          <w:highlight w:val="none"/>
          <w:lang w:val="en-US" w:eastAsia="zh-CN" w:bidi="ar-SA"/>
        </w:rPr>
        <w:t>，项目实际使用资金</w:t>
      </w:r>
      <w:r>
        <w:rPr>
          <w:rFonts w:hint="eastAsia" w:ascii="仿宋_GB2312" w:hAnsi="仿宋_GB2312" w:cs="仿宋_GB2312"/>
          <w:b w:val="0"/>
          <w:bCs w:val="0"/>
          <w:snapToGrid w:val="0"/>
          <w:color w:val="auto"/>
          <w:kern w:val="2"/>
          <w:sz w:val="32"/>
          <w:szCs w:val="32"/>
          <w:highlight w:val="none"/>
          <w:lang w:val="en-US" w:eastAsia="zh-CN" w:bidi="ar-SA"/>
        </w:rPr>
        <w:t>885.8</w:t>
      </w:r>
      <w:r>
        <w:rPr>
          <w:rFonts w:hint="eastAsia" w:ascii="仿宋_GB2312" w:hAnsi="仿宋_GB2312" w:eastAsia="仿宋_GB2312" w:cs="仿宋_GB2312"/>
          <w:b w:val="0"/>
          <w:bCs w:val="0"/>
          <w:snapToGrid w:val="0"/>
          <w:color w:val="auto"/>
          <w:kern w:val="2"/>
          <w:sz w:val="32"/>
          <w:szCs w:val="32"/>
          <w:highlight w:val="none"/>
          <w:lang w:val="en-US" w:eastAsia="zh-CN" w:bidi="ar-SA"/>
        </w:rPr>
        <w:t>万元，资金使用率</w:t>
      </w:r>
      <w:r>
        <w:rPr>
          <w:rFonts w:hint="eastAsia" w:ascii="仿宋_GB2312" w:hAnsi="仿宋_GB2312" w:cs="仿宋_GB2312"/>
          <w:b w:val="0"/>
          <w:bCs w:val="0"/>
          <w:snapToGrid w:val="0"/>
          <w:color w:val="auto"/>
          <w:kern w:val="2"/>
          <w:sz w:val="32"/>
          <w:szCs w:val="32"/>
          <w:highlight w:val="none"/>
          <w:lang w:val="en-US" w:eastAsia="zh-CN" w:bidi="ar-SA"/>
        </w:rPr>
        <w:t>88.85</w:t>
      </w:r>
      <w:r>
        <w:rPr>
          <w:rFonts w:hint="eastAsia" w:ascii="仿宋_GB2312" w:hAnsi="仿宋_GB2312" w:eastAsia="仿宋_GB2312" w:cs="仿宋_GB2312"/>
          <w:b w:val="0"/>
          <w:bCs w:val="0"/>
          <w:snapToGrid w:val="0"/>
          <w:color w:val="auto"/>
          <w:kern w:val="2"/>
          <w:sz w:val="32"/>
          <w:szCs w:val="32"/>
          <w:highlight w:val="none"/>
          <w:lang w:val="en-US" w:eastAsia="zh-CN" w:bidi="ar-SA"/>
        </w:rPr>
        <w:t>%。</w:t>
      </w:r>
    </w:p>
    <w:p>
      <w:pPr>
        <w:pStyle w:val="2"/>
        <w:bidi w:val="0"/>
        <w:outlineLvl w:val="1"/>
        <w:rPr>
          <w:color w:val="auto"/>
          <w:highlight w:val="none"/>
        </w:rPr>
      </w:pPr>
      <w:bookmarkStart w:id="6" w:name="_Toc7784"/>
      <w:bookmarkStart w:id="7" w:name="_Toc25187"/>
      <w:r>
        <w:rPr>
          <w:color w:val="auto"/>
          <w:highlight w:val="none"/>
        </w:rPr>
        <w:t>（二）项目绩效目标</w:t>
      </w:r>
      <w:bookmarkEnd w:id="6"/>
      <w:bookmarkEnd w:id="7"/>
    </w:p>
    <w:p>
      <w:pPr>
        <w:bidi w:val="0"/>
        <w:rPr>
          <w:rFonts w:hint="eastAsia"/>
          <w:b/>
          <w:bCs/>
          <w:color w:val="auto"/>
          <w:highlight w:val="none"/>
        </w:rPr>
      </w:pPr>
      <w:r>
        <w:rPr>
          <w:rFonts w:hint="eastAsia"/>
          <w:b/>
          <w:bCs/>
          <w:color w:val="auto"/>
          <w:highlight w:val="none"/>
        </w:rPr>
        <w:t>1、总体目标</w:t>
      </w:r>
    </w:p>
    <w:p>
      <w:pPr>
        <w:bidi w:val="0"/>
        <w:rPr>
          <w:rFonts w:hint="eastAsia"/>
          <w:b/>
          <w:bCs/>
          <w:color w:val="auto"/>
          <w:highlight w:val="none"/>
          <w:lang w:val="en-US" w:eastAsia="zh-CN"/>
        </w:rPr>
      </w:pPr>
      <w:r>
        <w:rPr>
          <w:rFonts w:hint="eastAsia" w:ascii="仿宋_GB2312" w:hAnsi="仿宋_GB2312" w:eastAsia="仿宋_GB2312" w:cs="仿宋_GB2312"/>
          <w:b w:val="0"/>
          <w:bCs w:val="0"/>
          <w:snapToGrid w:val="0"/>
          <w:color w:val="auto"/>
          <w:kern w:val="2"/>
          <w:sz w:val="32"/>
          <w:szCs w:val="32"/>
          <w:highlight w:val="none"/>
          <w:lang w:val="en-US" w:eastAsia="zh-CN" w:bidi="ar-SA"/>
        </w:rPr>
        <w:t>加强我县245.69万亩国家级公益林管护</w:t>
      </w:r>
      <w:r>
        <w:rPr>
          <w:rFonts w:hint="eastAsia" w:ascii="仿宋_GB2312" w:hAnsi="仿宋_GB2312" w:cs="仿宋_GB2312"/>
          <w:b w:val="0"/>
          <w:bCs w:val="0"/>
          <w:snapToGrid w:val="0"/>
          <w:color w:val="auto"/>
          <w:kern w:val="2"/>
          <w:sz w:val="32"/>
          <w:szCs w:val="32"/>
          <w:highlight w:val="none"/>
          <w:lang w:val="en-US" w:eastAsia="zh-CN" w:bidi="ar-SA"/>
        </w:rPr>
        <w:t>，提高我县公益林管护能力，</w:t>
      </w:r>
      <w:r>
        <w:rPr>
          <w:rFonts w:hint="eastAsia" w:ascii="仿宋_GB2312" w:hAnsi="仿宋_GB2312" w:eastAsia="仿宋_GB2312" w:cs="仿宋_GB2312"/>
          <w:b w:val="0"/>
          <w:bCs w:val="0"/>
          <w:snapToGrid w:val="0"/>
          <w:color w:val="auto"/>
          <w:kern w:val="2"/>
          <w:sz w:val="32"/>
          <w:szCs w:val="32"/>
          <w:highlight w:val="none"/>
          <w:lang w:val="en-US" w:eastAsia="zh-CN" w:bidi="ar-SA"/>
        </w:rPr>
        <w:t>改善实施项目周边农</w:t>
      </w:r>
      <w:r>
        <w:rPr>
          <w:rFonts w:hint="eastAsia" w:ascii="仿宋_GB2312" w:hAnsi="仿宋_GB2312" w:cs="仿宋_GB2312"/>
          <w:b w:val="0"/>
          <w:bCs w:val="0"/>
          <w:snapToGrid w:val="0"/>
          <w:color w:val="auto"/>
          <w:kern w:val="2"/>
          <w:sz w:val="32"/>
          <w:szCs w:val="32"/>
          <w:highlight w:val="none"/>
          <w:lang w:val="en-US" w:eastAsia="zh-CN" w:bidi="ar-SA"/>
        </w:rPr>
        <w:t>牧</w:t>
      </w:r>
      <w:r>
        <w:rPr>
          <w:rFonts w:hint="eastAsia" w:ascii="仿宋_GB2312" w:hAnsi="仿宋_GB2312" w:eastAsia="仿宋_GB2312" w:cs="仿宋_GB2312"/>
          <w:b w:val="0"/>
          <w:bCs w:val="0"/>
          <w:snapToGrid w:val="0"/>
          <w:color w:val="auto"/>
          <w:kern w:val="2"/>
          <w:sz w:val="32"/>
          <w:szCs w:val="32"/>
          <w:highlight w:val="none"/>
          <w:lang w:val="en-US" w:eastAsia="zh-CN" w:bidi="ar-SA"/>
        </w:rPr>
        <w:t>民的生产生活环境和生态环境质量。</w:t>
      </w:r>
    </w:p>
    <w:p>
      <w:pPr>
        <w:numPr>
          <w:ilvl w:val="0"/>
          <w:numId w:val="1"/>
        </w:numPr>
        <w:bidi w:val="0"/>
        <w:rPr>
          <w:rFonts w:hint="eastAsia"/>
          <w:b/>
          <w:bCs/>
          <w:color w:val="auto"/>
          <w:highlight w:val="none"/>
          <w:lang w:val="en-US" w:eastAsia="zh-CN"/>
        </w:rPr>
      </w:pPr>
      <w:r>
        <w:rPr>
          <w:rFonts w:hint="eastAsia"/>
          <w:b/>
          <w:bCs/>
          <w:color w:val="auto"/>
          <w:highlight w:val="none"/>
          <w:lang w:val="en-US" w:eastAsia="zh-CN"/>
        </w:rPr>
        <w:t>阶段性目标</w:t>
      </w:r>
    </w:p>
    <w:p>
      <w:pPr>
        <w:bidi w:val="0"/>
        <w:rPr>
          <w:rFonts w:hint="default"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cs="仿宋_GB2312"/>
          <w:b w:val="0"/>
          <w:bCs w:val="0"/>
          <w:snapToGrid w:val="0"/>
          <w:color w:val="auto"/>
          <w:kern w:val="2"/>
          <w:sz w:val="32"/>
          <w:szCs w:val="32"/>
          <w:highlight w:val="none"/>
          <w:lang w:val="en-US" w:eastAsia="zh-CN" w:bidi="ar-SA"/>
        </w:rPr>
        <w:t>（1）</w:t>
      </w:r>
      <w:r>
        <w:rPr>
          <w:rFonts w:hint="default" w:ascii="仿宋_GB2312" w:hAnsi="仿宋_GB2312" w:eastAsia="仿宋_GB2312" w:cs="仿宋_GB2312"/>
          <w:b w:val="0"/>
          <w:bCs w:val="0"/>
          <w:snapToGrid w:val="0"/>
          <w:color w:val="auto"/>
          <w:kern w:val="2"/>
          <w:sz w:val="32"/>
          <w:szCs w:val="32"/>
          <w:highlight w:val="none"/>
          <w:lang w:val="en-US" w:eastAsia="zh-CN" w:bidi="ar-SA"/>
        </w:rPr>
        <w:t>国家级公益林管护面积245.69万亩</w:t>
      </w:r>
      <w:r>
        <w:rPr>
          <w:rFonts w:hint="eastAsia" w:ascii="仿宋_GB2312" w:hAnsi="仿宋_GB2312" w:cs="仿宋_GB2312"/>
          <w:b w:val="0"/>
          <w:bCs w:val="0"/>
          <w:snapToGrid w:val="0"/>
          <w:color w:val="auto"/>
          <w:kern w:val="2"/>
          <w:sz w:val="32"/>
          <w:szCs w:val="32"/>
          <w:highlight w:val="none"/>
          <w:lang w:val="en-US" w:eastAsia="zh-CN" w:bidi="ar-SA"/>
        </w:rPr>
        <w:t>；</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cs="仿宋_GB2312"/>
          <w:b w:val="0"/>
          <w:bCs w:val="0"/>
          <w:snapToGrid w:val="0"/>
          <w:color w:val="auto"/>
          <w:kern w:val="2"/>
          <w:sz w:val="32"/>
          <w:szCs w:val="32"/>
          <w:highlight w:val="none"/>
          <w:lang w:val="en-US" w:eastAsia="zh-CN" w:bidi="ar-SA"/>
        </w:rPr>
        <w:t>（2）</w:t>
      </w:r>
      <w:r>
        <w:rPr>
          <w:rFonts w:hint="default" w:ascii="仿宋_GB2312" w:hAnsi="仿宋_GB2312" w:eastAsia="仿宋_GB2312" w:cs="仿宋_GB2312"/>
          <w:b w:val="0"/>
          <w:bCs w:val="0"/>
          <w:snapToGrid w:val="0"/>
          <w:color w:val="auto"/>
          <w:kern w:val="2"/>
          <w:sz w:val="32"/>
          <w:szCs w:val="32"/>
          <w:highlight w:val="none"/>
          <w:lang w:val="en-US" w:eastAsia="zh-CN" w:bidi="ar-SA"/>
        </w:rPr>
        <w:t>国家级公益林有效管护率</w:t>
      </w:r>
      <w:r>
        <w:rPr>
          <w:rFonts w:hint="eastAsia" w:ascii="仿宋_GB2312" w:hAnsi="仿宋_GB2312" w:eastAsia="仿宋_GB2312" w:cs="仿宋_GB2312"/>
          <w:b w:val="0"/>
          <w:bCs w:val="0"/>
          <w:snapToGrid w:val="0"/>
          <w:color w:val="auto"/>
          <w:kern w:val="2"/>
          <w:sz w:val="32"/>
          <w:szCs w:val="32"/>
          <w:highlight w:val="none"/>
          <w:lang w:val="en-US" w:eastAsia="zh-CN" w:bidi="ar-SA"/>
        </w:rPr>
        <w:t>90%</w:t>
      </w:r>
      <w:r>
        <w:rPr>
          <w:rFonts w:hint="eastAsia" w:ascii="仿宋_GB2312" w:hAnsi="仿宋_GB2312" w:cs="仿宋_GB2312"/>
          <w:b w:val="0"/>
          <w:bCs w:val="0"/>
          <w:snapToGrid w:val="0"/>
          <w:color w:val="auto"/>
          <w:kern w:val="2"/>
          <w:sz w:val="32"/>
          <w:szCs w:val="32"/>
          <w:highlight w:val="none"/>
          <w:lang w:val="en-US" w:eastAsia="zh-CN" w:bidi="ar-SA"/>
        </w:rPr>
        <w:t>；</w:t>
      </w:r>
    </w:p>
    <w:p>
      <w:pPr>
        <w:pStyle w:val="4"/>
        <w:bidi w:val="0"/>
        <w:outlineLvl w:val="0"/>
        <w:rPr>
          <w:color w:val="auto"/>
          <w:highlight w:val="none"/>
        </w:rPr>
      </w:pPr>
      <w:bookmarkStart w:id="8" w:name="_Toc8412"/>
      <w:bookmarkStart w:id="9" w:name="_Toc28824"/>
      <w:r>
        <w:rPr>
          <w:rFonts w:hint="eastAsia"/>
          <w:color w:val="auto"/>
          <w:highlight w:val="none"/>
        </w:rPr>
        <w:t>二、绩效评价工作开展情况</w:t>
      </w:r>
      <w:bookmarkEnd w:id="8"/>
      <w:bookmarkEnd w:id="9"/>
    </w:p>
    <w:p>
      <w:pPr>
        <w:pStyle w:val="2"/>
        <w:bidi w:val="0"/>
        <w:outlineLvl w:val="1"/>
        <w:rPr>
          <w:color w:val="auto"/>
          <w:highlight w:val="none"/>
        </w:rPr>
      </w:pPr>
      <w:bookmarkStart w:id="10" w:name="_Toc24175"/>
      <w:bookmarkStart w:id="11" w:name="_Toc6090"/>
      <w:r>
        <w:rPr>
          <w:rFonts w:hint="eastAsia"/>
          <w:color w:val="auto"/>
          <w:highlight w:val="none"/>
        </w:rPr>
        <w:t>（一）绩效评价目的、对象和范围</w:t>
      </w:r>
      <w:bookmarkEnd w:id="10"/>
      <w:bookmarkEnd w:id="11"/>
    </w:p>
    <w:p>
      <w:pPr>
        <w:bidi w:val="0"/>
        <w:rPr>
          <w:b/>
          <w:bCs/>
          <w:color w:val="auto"/>
          <w:highlight w:val="none"/>
        </w:rPr>
      </w:pPr>
      <w:r>
        <w:rPr>
          <w:b/>
          <w:bCs/>
          <w:color w:val="auto"/>
          <w:highlight w:val="none"/>
        </w:rPr>
        <w:t>1</w:t>
      </w:r>
      <w:r>
        <w:rPr>
          <w:rFonts w:hint="eastAsia"/>
          <w:b/>
          <w:bCs/>
          <w:color w:val="auto"/>
          <w:highlight w:val="none"/>
        </w:rPr>
        <w:t>、</w:t>
      </w:r>
      <w:r>
        <w:rPr>
          <w:b/>
          <w:bCs/>
          <w:color w:val="auto"/>
          <w:highlight w:val="none"/>
        </w:rPr>
        <w:t>绩效评价的目的</w:t>
      </w:r>
    </w:p>
    <w:p>
      <w:pPr>
        <w:spacing w:line="600" w:lineRule="exact"/>
        <w:ind w:firstLine="640" w:firstLineChars="20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本次绩效评价遵循财政部《关于印发&lt;项目支出绩效评价管理办法&gt;的通知》（财预〔2020〕10号）文件精神，对</w:t>
      </w:r>
      <w:r>
        <w:rPr>
          <w:rFonts w:hint="eastAsia" w:ascii="仿宋_GB2312" w:hAnsi="仿宋_GB2312" w:cs="仿宋_GB2312"/>
          <w:b w:val="0"/>
          <w:bCs w:val="0"/>
          <w:snapToGrid w:val="0"/>
          <w:color w:val="auto"/>
          <w:kern w:val="2"/>
          <w:sz w:val="32"/>
          <w:szCs w:val="32"/>
          <w:highlight w:val="none"/>
          <w:lang w:val="en-US" w:eastAsia="zh-CN" w:bidi="ar-SA"/>
        </w:rPr>
        <w:t>尉犁县2023年国家级公益林管护项目</w:t>
      </w:r>
      <w:r>
        <w:rPr>
          <w:rFonts w:hint="eastAsia" w:ascii="仿宋_GB2312" w:hAnsi="仿宋_GB2312" w:eastAsia="仿宋_GB2312" w:cs="仿宋_GB2312"/>
          <w:b w:val="0"/>
          <w:bCs w:val="0"/>
          <w:snapToGrid w:val="0"/>
          <w:color w:val="auto"/>
          <w:kern w:val="2"/>
          <w:sz w:val="32"/>
          <w:szCs w:val="32"/>
          <w:highlight w:val="none"/>
          <w:lang w:val="en-US" w:eastAsia="zh-CN" w:bidi="ar-SA"/>
        </w:rPr>
        <w:t>预算编制合理性、资金使用合规性、项目管理的规范性、项目目标的实现情况、服务对象的满意度等，通过部门自评来总结经验，促进项目成果转化和应用，查找存在的不足，为今后类似项目的长效管理，资金使用规范性以及加强制定相关制度、采取措施等方面提供参考，不断提高财政资金使用效益和项目管理水平。</w:t>
      </w:r>
    </w:p>
    <w:p>
      <w:pPr>
        <w:bidi w:val="0"/>
        <w:rPr>
          <w:b/>
          <w:bCs/>
          <w:color w:val="auto"/>
          <w:highlight w:val="none"/>
        </w:rPr>
      </w:pPr>
      <w:r>
        <w:rPr>
          <w:b/>
          <w:bCs/>
          <w:color w:val="auto"/>
          <w:highlight w:val="none"/>
        </w:rPr>
        <w:t>2</w:t>
      </w:r>
      <w:r>
        <w:rPr>
          <w:rFonts w:hint="eastAsia"/>
          <w:b/>
          <w:bCs/>
          <w:color w:val="auto"/>
          <w:highlight w:val="none"/>
        </w:rPr>
        <w:t>、</w:t>
      </w:r>
      <w:r>
        <w:rPr>
          <w:b/>
          <w:bCs/>
          <w:color w:val="auto"/>
          <w:highlight w:val="none"/>
        </w:rPr>
        <w:t>绩效评价的对象和范围</w:t>
      </w:r>
    </w:p>
    <w:p>
      <w:pPr>
        <w:spacing w:line="600" w:lineRule="exact"/>
        <w:ind w:firstLine="640" w:firstLineChars="20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根据《财政支出绩效评价管理办法》（财预〔2020〕10号）文件要求，对</w:t>
      </w:r>
      <w:r>
        <w:rPr>
          <w:rFonts w:hint="eastAsia" w:ascii="仿宋_GB2312" w:hAnsi="仿宋_GB2312" w:cs="仿宋_GB2312"/>
          <w:b w:val="0"/>
          <w:bCs w:val="0"/>
          <w:snapToGrid w:val="0"/>
          <w:color w:val="auto"/>
          <w:kern w:val="2"/>
          <w:sz w:val="32"/>
          <w:szCs w:val="32"/>
          <w:highlight w:val="none"/>
          <w:lang w:val="en-US" w:eastAsia="zh-CN" w:bidi="ar-SA"/>
        </w:rPr>
        <w:t>尉犁县2023年国家级公益林管护项目</w:t>
      </w:r>
      <w:r>
        <w:rPr>
          <w:rFonts w:hint="eastAsia" w:ascii="仿宋_GB2312" w:hAnsi="仿宋_GB2312" w:eastAsia="仿宋_GB2312" w:cs="仿宋_GB2312"/>
          <w:b w:val="0"/>
          <w:bCs w:val="0"/>
          <w:snapToGrid w:val="0"/>
          <w:color w:val="auto"/>
          <w:kern w:val="2"/>
          <w:sz w:val="32"/>
          <w:szCs w:val="32"/>
          <w:highlight w:val="none"/>
          <w:lang w:val="en-US" w:eastAsia="zh-CN" w:bidi="ar-SA"/>
        </w:rPr>
        <w:t>开展绩效评价，本次绩效评价范围主要围绕项目决策（包括项目实施、绩效目标、资金投入）、项目过程（包括资金管理、组织实施）、项目产出（包括产出数量、质量、时效、成本）和项目效益等进行评价。</w:t>
      </w:r>
    </w:p>
    <w:p>
      <w:pPr>
        <w:pStyle w:val="2"/>
        <w:bidi w:val="0"/>
        <w:outlineLvl w:val="1"/>
        <w:rPr>
          <w:color w:val="auto"/>
          <w:highlight w:val="none"/>
        </w:rPr>
      </w:pPr>
      <w:bookmarkStart w:id="12" w:name="_Toc9234"/>
      <w:bookmarkStart w:id="13" w:name="_Toc5109"/>
      <w:r>
        <w:rPr>
          <w:rFonts w:hint="eastAsia"/>
          <w:color w:val="auto"/>
          <w:highlight w:val="none"/>
        </w:rPr>
        <w:t>（二）绩效评价原则、评价指标体系、评价方法、评价标准</w:t>
      </w:r>
      <w:bookmarkEnd w:id="12"/>
      <w:bookmarkEnd w:id="13"/>
    </w:p>
    <w:p>
      <w:pPr>
        <w:bidi w:val="0"/>
        <w:rPr>
          <w:b/>
          <w:bCs/>
          <w:color w:val="auto"/>
          <w:highlight w:val="none"/>
        </w:rPr>
      </w:pPr>
      <w:r>
        <w:rPr>
          <w:b/>
          <w:bCs/>
          <w:color w:val="auto"/>
          <w:highlight w:val="none"/>
        </w:rPr>
        <w:t>1、绩效评价原则</w:t>
      </w:r>
    </w:p>
    <w:p>
      <w:pPr>
        <w:bidi w:val="0"/>
        <w:rPr>
          <w:color w:val="auto"/>
          <w:highlight w:val="none"/>
        </w:rPr>
      </w:pPr>
      <w:r>
        <w:rPr>
          <w:color w:val="auto"/>
          <w:highlight w:val="none"/>
        </w:rPr>
        <w:t>（1）科学公正。</w:t>
      </w:r>
      <w:r>
        <w:rPr>
          <w:rFonts w:hint="eastAsia"/>
          <w:color w:val="auto"/>
          <w:highlight w:val="none"/>
          <w:lang w:val="en-US" w:eastAsia="zh-CN"/>
        </w:rPr>
        <w:t>本</w:t>
      </w:r>
      <w:r>
        <w:rPr>
          <w:color w:val="auto"/>
          <w:highlight w:val="none"/>
        </w:rPr>
        <w:t>绩效评价</w:t>
      </w:r>
      <w:r>
        <w:rPr>
          <w:rFonts w:hint="eastAsia"/>
          <w:color w:val="auto"/>
          <w:highlight w:val="none"/>
          <w:lang w:val="en-US" w:eastAsia="zh-CN"/>
        </w:rPr>
        <w:t>坚持</w:t>
      </w:r>
      <w:r>
        <w:rPr>
          <w:color w:val="auto"/>
          <w:highlight w:val="none"/>
        </w:rPr>
        <w:t>运用科学合理的方法，按照规范的程序，对项目绩效进行客观、公正的反映。</w:t>
      </w:r>
    </w:p>
    <w:p>
      <w:pPr>
        <w:bidi w:val="0"/>
        <w:rPr>
          <w:color w:val="auto"/>
          <w:highlight w:val="none"/>
        </w:rPr>
      </w:pPr>
      <w:r>
        <w:rPr>
          <w:color w:val="auto"/>
          <w:highlight w:val="none"/>
        </w:rPr>
        <w:t>（2）统筹兼顾。</w:t>
      </w:r>
      <w:r>
        <w:rPr>
          <w:rFonts w:hint="eastAsia"/>
          <w:color w:val="auto"/>
          <w:highlight w:val="none"/>
          <w:lang w:val="en-US" w:eastAsia="zh-CN"/>
        </w:rPr>
        <w:t>本项目</w:t>
      </w:r>
      <w:r>
        <w:rPr>
          <w:color w:val="auto"/>
          <w:highlight w:val="none"/>
        </w:rPr>
        <w:t>自评</w:t>
      </w:r>
      <w:r>
        <w:rPr>
          <w:rFonts w:hint="eastAsia"/>
          <w:color w:val="auto"/>
          <w:highlight w:val="none"/>
          <w:lang w:val="en-US" w:eastAsia="zh-CN"/>
        </w:rPr>
        <w:t>坚持由本</w:t>
      </w:r>
      <w:r>
        <w:rPr>
          <w:color w:val="auto"/>
          <w:highlight w:val="none"/>
        </w:rPr>
        <w:t>项目单位自主实施，即</w:t>
      </w:r>
      <w:r>
        <w:rPr>
          <w:rFonts w:hint="eastAsia"/>
          <w:color w:val="auto"/>
          <w:highlight w:val="none"/>
        </w:rPr>
        <w:t>“</w:t>
      </w:r>
      <w:r>
        <w:rPr>
          <w:color w:val="auto"/>
          <w:highlight w:val="none"/>
        </w:rPr>
        <w:t>谁支出、谁自评</w:t>
      </w:r>
      <w:r>
        <w:rPr>
          <w:rFonts w:hint="eastAsia"/>
          <w:color w:val="auto"/>
          <w:highlight w:val="none"/>
        </w:rPr>
        <w:t>”</w:t>
      </w:r>
      <w:r>
        <w:rPr>
          <w:color w:val="auto"/>
          <w:highlight w:val="none"/>
        </w:rPr>
        <w:t>。</w:t>
      </w:r>
    </w:p>
    <w:p>
      <w:pPr>
        <w:bidi w:val="0"/>
        <w:rPr>
          <w:color w:val="auto"/>
          <w:highlight w:val="none"/>
        </w:rPr>
      </w:pPr>
      <w:r>
        <w:rPr>
          <w:color w:val="auto"/>
          <w:highlight w:val="none"/>
        </w:rPr>
        <w:t>（3）激励约束。绩效评价结果与预算安排、政策调整、改进管理实质性挂钩，体现奖优罚劣和激励相容导向，有效</w:t>
      </w:r>
      <w:r>
        <w:rPr>
          <w:rFonts w:hint="eastAsia"/>
          <w:color w:val="auto"/>
          <w:highlight w:val="none"/>
          <w:lang w:val="en-US" w:eastAsia="zh-CN"/>
        </w:rPr>
        <w:t>的要</w:t>
      </w:r>
      <w:r>
        <w:rPr>
          <w:color w:val="auto"/>
          <w:highlight w:val="none"/>
        </w:rPr>
        <w:t>安排、低效要压减、无效要问责。</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color w:val="auto"/>
          <w:highlight w:val="none"/>
        </w:rPr>
        <w:t>（4）</w:t>
      </w:r>
      <w:r>
        <w:rPr>
          <w:rFonts w:hint="eastAsia" w:ascii="仿宋_GB2312" w:hAnsi="仿宋_GB2312" w:eastAsia="仿宋_GB2312" w:cs="仿宋_GB2312"/>
          <w:b w:val="0"/>
          <w:bCs w:val="0"/>
          <w:snapToGrid w:val="0"/>
          <w:color w:val="auto"/>
          <w:kern w:val="2"/>
          <w:sz w:val="32"/>
          <w:szCs w:val="32"/>
          <w:highlight w:val="none"/>
          <w:lang w:val="en-US" w:eastAsia="zh-CN" w:bidi="ar-SA"/>
        </w:rPr>
        <w:t>公开透明。</w:t>
      </w:r>
      <w:bookmarkStart w:id="14" w:name="_Toc23112"/>
      <w:bookmarkStart w:id="15" w:name="_Toc30993"/>
      <w:r>
        <w:rPr>
          <w:rFonts w:hint="eastAsia" w:ascii="仿宋_GB2312" w:hAnsi="仿宋_GB2312" w:eastAsia="仿宋_GB2312" w:cs="仿宋_GB2312"/>
          <w:b w:val="0"/>
          <w:bCs w:val="0"/>
          <w:snapToGrid w:val="0"/>
          <w:color w:val="auto"/>
          <w:kern w:val="2"/>
          <w:sz w:val="32"/>
          <w:szCs w:val="32"/>
          <w:highlight w:val="none"/>
          <w:lang w:val="en-US" w:eastAsia="zh-CN" w:bidi="ar-SA"/>
        </w:rPr>
        <w:t>本次项目支出绩效评价结果已依法依规公开，并自觉接受社会监督。</w:t>
      </w:r>
    </w:p>
    <w:p>
      <w:pPr>
        <w:bidi w:val="0"/>
        <w:rPr>
          <w:b/>
          <w:bCs/>
          <w:color w:val="auto"/>
          <w:highlight w:val="none"/>
        </w:rPr>
      </w:pPr>
      <w:r>
        <w:rPr>
          <w:b/>
          <w:bCs/>
          <w:color w:val="auto"/>
          <w:highlight w:val="none"/>
        </w:rPr>
        <w:t>2</w:t>
      </w:r>
      <w:r>
        <w:rPr>
          <w:rFonts w:hint="eastAsia"/>
          <w:b/>
          <w:bCs/>
          <w:color w:val="auto"/>
          <w:highlight w:val="none"/>
        </w:rPr>
        <w:t>、</w:t>
      </w:r>
      <w:r>
        <w:rPr>
          <w:b/>
          <w:bCs/>
          <w:color w:val="auto"/>
          <w:highlight w:val="none"/>
        </w:rPr>
        <w:t>评价指标体系</w:t>
      </w:r>
      <w:bookmarkEnd w:id="14"/>
      <w:bookmarkEnd w:id="15"/>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cs="仿宋_GB2312"/>
          <w:b w:val="0"/>
          <w:bCs w:val="0"/>
          <w:snapToGrid w:val="0"/>
          <w:color w:val="auto"/>
          <w:kern w:val="2"/>
          <w:sz w:val="32"/>
          <w:szCs w:val="32"/>
          <w:highlight w:val="none"/>
          <w:lang w:val="en-US" w:eastAsia="zh-CN" w:bidi="ar-SA"/>
        </w:rPr>
        <w:t>尉犁县2023年国家级公益林管护项目</w:t>
      </w:r>
      <w:r>
        <w:rPr>
          <w:rFonts w:hint="eastAsia" w:ascii="仿宋_GB2312" w:hAnsi="仿宋_GB2312" w:eastAsia="仿宋_GB2312" w:cs="仿宋_GB2312"/>
          <w:b w:val="0"/>
          <w:bCs w:val="0"/>
          <w:snapToGrid w:val="0"/>
          <w:color w:val="auto"/>
          <w:kern w:val="2"/>
          <w:sz w:val="32"/>
          <w:szCs w:val="32"/>
          <w:highlight w:val="none"/>
          <w:lang w:val="en-US" w:eastAsia="zh-CN" w:bidi="ar-SA"/>
        </w:rPr>
        <w:t>绩效评价（部门自评）指标体系的设计，是在充分掌握项目状况的基础上，形成了</w:t>
      </w:r>
      <w:r>
        <w:rPr>
          <w:rFonts w:hint="eastAsia" w:ascii="仿宋_GB2312" w:hAnsi="仿宋_GB2312" w:cs="仿宋_GB2312"/>
          <w:b w:val="0"/>
          <w:bCs w:val="0"/>
          <w:snapToGrid w:val="0"/>
          <w:color w:val="auto"/>
          <w:kern w:val="2"/>
          <w:sz w:val="32"/>
          <w:szCs w:val="32"/>
          <w:highlight w:val="none"/>
          <w:lang w:val="en-US" w:eastAsia="zh-CN" w:bidi="ar-SA"/>
        </w:rPr>
        <w:t>尉犁县2023年国家级公益林管护项目</w:t>
      </w:r>
      <w:r>
        <w:rPr>
          <w:rFonts w:hint="eastAsia" w:ascii="仿宋_GB2312" w:hAnsi="仿宋_GB2312" w:eastAsia="仿宋_GB2312" w:cs="仿宋_GB2312"/>
          <w:b w:val="0"/>
          <w:bCs w:val="0"/>
          <w:snapToGrid w:val="0"/>
          <w:color w:val="auto"/>
          <w:kern w:val="2"/>
          <w:sz w:val="32"/>
          <w:szCs w:val="32"/>
          <w:highlight w:val="none"/>
          <w:lang w:val="en-US" w:eastAsia="zh-CN" w:bidi="ar-SA"/>
        </w:rPr>
        <w:t>的项目支出绩效评价指标体系（部门自评）。本项目设计绩效评价指标体系满分100分。四个级别分别是：优、良、中、差，90（含）-100分为优、80（含）-90分为良、60（含）-80分为中、60分以下为差。</w:t>
      </w:r>
    </w:p>
    <w:p>
      <w:pPr>
        <w:bidi w:val="0"/>
        <w:rPr>
          <w:color w:val="auto"/>
          <w:highlight w:val="none"/>
        </w:rPr>
      </w:pPr>
      <w:r>
        <w:rPr>
          <w:color w:val="auto"/>
          <w:highlight w:val="none"/>
        </w:rPr>
        <w:t>按照财预〔2020〕10号文件关于</w:t>
      </w:r>
      <w:r>
        <w:rPr>
          <w:rFonts w:hint="eastAsia"/>
          <w:color w:val="auto"/>
          <w:highlight w:val="none"/>
        </w:rPr>
        <w:t>“</w:t>
      </w:r>
      <w:r>
        <w:rPr>
          <w:color w:val="auto"/>
          <w:highlight w:val="none"/>
        </w:rPr>
        <w:t>原则上产出、效益指标权重不低于60%</w:t>
      </w:r>
      <w:r>
        <w:rPr>
          <w:rFonts w:hint="eastAsia"/>
          <w:color w:val="auto"/>
          <w:highlight w:val="none"/>
        </w:rPr>
        <w:t>”</w:t>
      </w:r>
      <w:r>
        <w:rPr>
          <w:color w:val="auto"/>
          <w:highlight w:val="none"/>
        </w:rPr>
        <w:t>的要求，本项目产出、效益指标权重60%（即60分）。具体如下：</w:t>
      </w:r>
    </w:p>
    <w:tbl>
      <w:tblPr>
        <w:tblStyle w:val="14"/>
        <w:tblpPr w:leftFromText="180" w:rightFromText="180" w:vertAnchor="text" w:horzAnchor="page" w:tblpX="1553" w:tblpY="180"/>
        <w:tblOverlap w:val="never"/>
        <w:tblW w:w="8384" w:type="dxa"/>
        <w:tblInd w:w="0" w:type="dxa"/>
        <w:shd w:val="clear" w:color="auto" w:fill="auto"/>
        <w:tblLayout w:type="fixed"/>
        <w:tblCellMar>
          <w:top w:w="0" w:type="dxa"/>
          <w:left w:w="108" w:type="dxa"/>
          <w:bottom w:w="0" w:type="dxa"/>
          <w:right w:w="108" w:type="dxa"/>
        </w:tblCellMar>
      </w:tblPr>
      <w:tblGrid>
        <w:gridCol w:w="699"/>
        <w:gridCol w:w="740"/>
        <w:gridCol w:w="739"/>
        <w:gridCol w:w="2000"/>
        <w:gridCol w:w="3521"/>
        <w:gridCol w:w="685"/>
      </w:tblGrid>
      <w:tr>
        <w:tblPrEx>
          <w:shd w:val="clear" w:color="auto" w:fill="auto"/>
          <w:tblCellMar>
            <w:top w:w="0" w:type="dxa"/>
            <w:left w:w="108" w:type="dxa"/>
            <w:bottom w:w="0" w:type="dxa"/>
            <w:right w:w="108" w:type="dxa"/>
          </w:tblCellMar>
        </w:tblPrEx>
        <w:trPr>
          <w:trHeight w:val="46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一级指标</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二级指标</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三级指标</w:t>
            </w:r>
          </w:p>
        </w:tc>
        <w:tc>
          <w:tcPr>
            <w:tcW w:w="2000" w:type="dxa"/>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指标解释</w:t>
            </w:r>
          </w:p>
        </w:tc>
        <w:tc>
          <w:tcPr>
            <w:tcW w:w="352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指标说明</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分值</w:t>
            </w:r>
          </w:p>
        </w:tc>
      </w:tr>
      <w:tr>
        <w:tblPrEx>
          <w:tblCellMar>
            <w:top w:w="0" w:type="dxa"/>
            <w:left w:w="108" w:type="dxa"/>
            <w:bottom w:w="0" w:type="dxa"/>
            <w:right w:w="108" w:type="dxa"/>
          </w:tblCellMar>
        </w:tblPrEx>
        <w:trPr>
          <w:trHeight w:val="460" w:hRule="atLeast"/>
        </w:trPr>
        <w:tc>
          <w:tcPr>
            <w:tcW w:w="6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决策</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项目</w:t>
            </w:r>
            <w:r>
              <w:rPr>
                <w:rFonts w:hint="eastAsia"/>
                <w:color w:val="auto"/>
                <w:sz w:val="21"/>
                <w:szCs w:val="22"/>
                <w:highlight w:val="none"/>
              </w:rPr>
              <w:t>实施</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实施</w:t>
            </w:r>
            <w:r>
              <w:rPr>
                <w:color w:val="auto"/>
                <w:sz w:val="21"/>
                <w:szCs w:val="22"/>
                <w:highlight w:val="none"/>
              </w:rPr>
              <w:t>依据充分性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w:t>
            </w:r>
            <w:r>
              <w:rPr>
                <w:rFonts w:hint="eastAsia"/>
                <w:color w:val="auto"/>
                <w:sz w:val="21"/>
                <w:szCs w:val="22"/>
                <w:highlight w:val="none"/>
              </w:rPr>
              <w:t>实施</w:t>
            </w:r>
            <w:r>
              <w:rPr>
                <w:color w:val="auto"/>
                <w:sz w:val="21"/>
                <w:szCs w:val="22"/>
                <w:highlight w:val="none"/>
              </w:rPr>
              <w:t>是否符合法律法规、相关政策、发展规划以及部门职责，用以反映和考核项目</w:t>
            </w:r>
            <w:r>
              <w:rPr>
                <w:rFonts w:hint="eastAsia"/>
                <w:color w:val="auto"/>
                <w:sz w:val="21"/>
                <w:szCs w:val="22"/>
                <w:highlight w:val="none"/>
              </w:rPr>
              <w:t>实施</w:t>
            </w:r>
            <w:r>
              <w:rPr>
                <w:color w:val="auto"/>
                <w:sz w:val="21"/>
                <w:szCs w:val="22"/>
                <w:highlight w:val="none"/>
              </w:rPr>
              <w:t>依据情况。</w:t>
            </w: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3</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①项目</w:t>
            </w:r>
            <w:r>
              <w:rPr>
                <w:rFonts w:hint="eastAsia"/>
                <w:color w:val="auto"/>
                <w:sz w:val="21"/>
                <w:szCs w:val="22"/>
                <w:highlight w:val="none"/>
              </w:rPr>
              <w:t>实施</w:t>
            </w:r>
            <w:r>
              <w:rPr>
                <w:color w:val="auto"/>
                <w:sz w:val="21"/>
                <w:szCs w:val="22"/>
                <w:highlight w:val="none"/>
              </w:rPr>
              <w:t>是否符合国家法律法规、国民经济发展规划和相关政策；</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②项目</w:t>
            </w:r>
            <w:r>
              <w:rPr>
                <w:rFonts w:hint="eastAsia"/>
                <w:color w:val="auto"/>
                <w:sz w:val="21"/>
                <w:szCs w:val="22"/>
                <w:highlight w:val="none"/>
              </w:rPr>
              <w:t>实施</w:t>
            </w:r>
            <w:r>
              <w:rPr>
                <w:color w:val="auto"/>
                <w:sz w:val="21"/>
                <w:szCs w:val="22"/>
                <w:highlight w:val="none"/>
              </w:rPr>
              <w:t>是否符合行业发展规划和政策要求；</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③项目</w:t>
            </w:r>
            <w:r>
              <w:rPr>
                <w:rFonts w:hint="eastAsia"/>
                <w:color w:val="auto"/>
                <w:sz w:val="21"/>
                <w:szCs w:val="22"/>
                <w:highlight w:val="none"/>
              </w:rPr>
              <w:t>实施</w:t>
            </w:r>
            <w:r>
              <w:rPr>
                <w:color w:val="auto"/>
                <w:sz w:val="21"/>
                <w:szCs w:val="22"/>
                <w:highlight w:val="none"/>
              </w:rPr>
              <w:t>是否与部门职责范围相符，属于部门履职所需；</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④项目是否属于公共财政支持范围，是否符合中央、地方事权支出责任划分原则；</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⑤项目是否与相关部门同类项目或部门内部相关项目重复。</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实施</w:t>
            </w:r>
            <w:r>
              <w:rPr>
                <w:color w:val="auto"/>
                <w:sz w:val="21"/>
                <w:szCs w:val="22"/>
                <w:highlight w:val="none"/>
              </w:rPr>
              <w:t>程序规范性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项目申请、设立过程是否符合相关要求，用以反映和考核项目</w:t>
            </w:r>
            <w:r>
              <w:rPr>
                <w:rFonts w:hint="eastAsia"/>
                <w:color w:val="auto"/>
                <w:sz w:val="21"/>
                <w:szCs w:val="22"/>
                <w:highlight w:val="none"/>
              </w:rPr>
              <w:t>实施</w:t>
            </w:r>
            <w:r>
              <w:rPr>
                <w:color w:val="auto"/>
                <w:sz w:val="21"/>
                <w:szCs w:val="22"/>
                <w:highlight w:val="none"/>
              </w:rPr>
              <w:t>的规范情况。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3</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①项目是否按照规定的程序申请设立；</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②审批文件、材料是否符合相关要求；</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绩效目标</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绩效目标合理性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项目所设定的绩效目标是否依据充分，是否符合客观实际，用以反映和考核项目绩效目标与项目实施的相符情况。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4</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①项目是否有绩效目标；</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②项目绩效目标与实际工作内容是否具有相关性；</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③项目预期产出效益和效果是否符合正常的业绩水平；</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④是否与预算确定的项目投资额或资金量相匹配。</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绩效指标明确性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依据绩效目标设定的绩效指标是否清晰、细化、可衡量等，用以反映和考核项目绩效目标的明细化情况。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4</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①是否将项目绩效目标细化分解为具体的绩效指标；</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②是否通过清晰、可衡量的指标值予以体现；</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72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③是否与项目目标任务数或计划数相对应。</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资金投入</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预算编制科学性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项目预算编制是否经过科学论证、有明确标准，资金额度与年度目标是否相适应，用以反映和考核项目预算编制的科学性、合理性情况。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4</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①预算编制是否经过科学论证；</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②预算内容与项目内容是否匹配；</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③预算额度测算依据是否充分，是否按照标准编制；</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④预算确定的项目投资额或资金量是否与工作任务相匹配。</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资金分配合理性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项目预算资金分配是否有测算依据，与补助单位或地方实际是否相适应，用以反映和考核项目预算资金分配的科学性、合理性情况。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4</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①预算资金分配依据是否充分；</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②资金分配额度是否合理，与</w:t>
            </w:r>
            <w:r>
              <w:rPr>
                <w:rFonts w:hint="eastAsia"/>
                <w:color w:val="auto"/>
                <w:sz w:val="21"/>
                <w:szCs w:val="22"/>
                <w:highlight w:val="none"/>
              </w:rPr>
              <w:t>补助</w:t>
            </w:r>
            <w:r>
              <w:rPr>
                <w:color w:val="auto"/>
                <w:sz w:val="21"/>
                <w:szCs w:val="22"/>
                <w:highlight w:val="none"/>
              </w:rPr>
              <w:t>项目单位或地方实际是否相适应。</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过程</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资金管理</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资金到位率</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实际到位资金与预算资金的比率，用以反映和考核资金落实情况对项目实施的总体保障程度。</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资金到位率=（实际到位资金/预算资金）×100%。</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4</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实际到位资金：一定时期（本年度或项目期）内落实到具体项目的资金。</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预算资金：一定时期（本年度或项目期）内预算安排到具体项目的资金。</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预算执行率</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项目预算资金是否按照计划执行，用以反映或考核项目预算执行情况。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预算执行率=（实际支出资金/实际到位资金）×100%。</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4</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实际支出资金：一定时期（本年度或项目期）内项目实际拨付的资金。</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资金使用合规性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项目资金使用是否符合相关的财务管理制度规定，用以反映和考核项目资金的规范运行情况。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4</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①是否符合国家财经法规和财务管理制度以及有关专项资金管理办法的规定；</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②资金的拨付是否有完整的审批程序和手续；</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374"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③是否符合项目预算批复或合同规定的用途；</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④是否存在截留、挤占、挪用、虚列支出等情况。</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组织实施</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管理制度健全性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项目实施单位的财务和业务管理制度是否健全，用以反映和考核财务和业务管理制度对项目顺利实施的保障情况。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3</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①是否已制定或具有相应的财务和业务管理制度；</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②财务和业务管理制度是否合法、合规、完整。</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制度执行有效性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项目实施是否符合相关管理规定，用以反映和考核相关管理制度的有效执行情况。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3</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①是否遵守相关法律法规和相关管理规定；</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②项目调整及支出调整手续是否完备；</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restart"/>
            <w:tcBorders>
              <w:top w:val="single" w:color="000000" w:sz="4" w:space="0"/>
              <w:left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产出</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产出数量</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实际完成率</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项目实施的实际产出数与计划产出数的比率，用以反映和考核项目产出数量目标的实现程度。</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实际完成率=（实际产出数/计划产出数）×100%。</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rFonts w:hint="default" w:eastAsia="仿宋_GB2312"/>
                <w:color w:val="auto"/>
                <w:sz w:val="21"/>
                <w:szCs w:val="22"/>
                <w:highlight w:val="none"/>
                <w:lang w:val="en-US" w:eastAsia="zh-CN"/>
              </w:rPr>
            </w:pPr>
            <w:r>
              <w:rPr>
                <w:rFonts w:hint="eastAsia"/>
                <w:color w:val="auto"/>
                <w:sz w:val="21"/>
                <w:szCs w:val="22"/>
                <w:highlight w:val="none"/>
                <w:lang w:val="en-US" w:eastAsia="zh-CN"/>
              </w:rPr>
              <w:t>12</w:t>
            </w:r>
          </w:p>
        </w:tc>
      </w:tr>
      <w:tr>
        <w:tblPrEx>
          <w:tblCellMar>
            <w:top w:w="0" w:type="dxa"/>
            <w:left w:w="108" w:type="dxa"/>
            <w:bottom w:w="0" w:type="dxa"/>
            <w:right w:w="108" w:type="dxa"/>
          </w:tblCellMar>
        </w:tblPrEx>
        <w:trPr>
          <w:trHeight w:val="460" w:hRule="atLeast"/>
        </w:trPr>
        <w:tc>
          <w:tcPr>
            <w:tcW w:w="699"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实际产出数：一定时期（本年度或项目期）内项目实际产出的产品或提供的服务数量。</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计划产出数：项目绩效目标确定的在一定时期（本年度或项目期）内计划产出的产品或提供的服务数量。</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780" w:hRule="atLeast"/>
        </w:trPr>
        <w:tc>
          <w:tcPr>
            <w:tcW w:w="699"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产出质量</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质量达标率</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项目完成的质量达标产出数与实际产出数的比率，用以反映和考核项目产出质量目标的实现程度。</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质量达标率=（质量达标产出数/实际产出数）×100%。</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rFonts w:hint="default" w:eastAsia="仿宋_GB2312"/>
                <w:color w:val="auto"/>
                <w:sz w:val="21"/>
                <w:szCs w:val="22"/>
                <w:highlight w:val="none"/>
                <w:lang w:val="en-US" w:eastAsia="zh-CN"/>
              </w:rPr>
            </w:pPr>
            <w:r>
              <w:rPr>
                <w:rFonts w:hint="eastAsia"/>
                <w:color w:val="auto"/>
                <w:sz w:val="21"/>
                <w:szCs w:val="22"/>
                <w:highlight w:val="none"/>
                <w:lang w:val="en-US" w:eastAsia="zh-CN"/>
              </w:rPr>
              <w:t>12</w:t>
            </w:r>
          </w:p>
        </w:tc>
      </w:tr>
      <w:tr>
        <w:tblPrEx>
          <w:tblCellMar>
            <w:top w:w="0" w:type="dxa"/>
            <w:left w:w="108" w:type="dxa"/>
            <w:bottom w:w="0" w:type="dxa"/>
            <w:right w:w="108" w:type="dxa"/>
          </w:tblCellMar>
        </w:tblPrEx>
        <w:trPr>
          <w:trHeight w:val="880" w:hRule="atLeast"/>
        </w:trPr>
        <w:tc>
          <w:tcPr>
            <w:tcW w:w="699"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产出时效</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完成及时性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项目实际完成时间与计划完成时间的比较，用以反映和考核项目产出时效目标的实现程度。</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实际完成时间：项目实施单位完成该项目实际所耗用的时间。</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rFonts w:hint="eastAsia" w:eastAsia="仿宋_GB2312"/>
                <w:color w:val="auto"/>
                <w:sz w:val="21"/>
                <w:szCs w:val="22"/>
                <w:highlight w:val="none"/>
                <w:lang w:eastAsia="zh-CN"/>
              </w:rPr>
            </w:pPr>
            <w:r>
              <w:rPr>
                <w:rFonts w:hint="eastAsia"/>
                <w:color w:val="auto"/>
                <w:sz w:val="21"/>
                <w:szCs w:val="22"/>
                <w:highlight w:val="none"/>
                <w:lang w:val="en-US" w:eastAsia="zh-CN"/>
              </w:rPr>
              <w:t>8</w:t>
            </w:r>
          </w:p>
        </w:tc>
      </w:tr>
      <w:tr>
        <w:tblPrEx>
          <w:tblCellMar>
            <w:top w:w="0" w:type="dxa"/>
            <w:left w:w="108" w:type="dxa"/>
            <w:bottom w:w="0" w:type="dxa"/>
            <w:right w:w="108" w:type="dxa"/>
          </w:tblCellMar>
        </w:tblPrEx>
        <w:trPr>
          <w:trHeight w:val="460" w:hRule="atLeast"/>
        </w:trPr>
        <w:tc>
          <w:tcPr>
            <w:tcW w:w="699"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计划完成时间：按照项目实施计划或相关规定完成该项目所需的时间。</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57" w:hRule="atLeast"/>
        </w:trPr>
        <w:tc>
          <w:tcPr>
            <w:tcW w:w="699" w:type="dxa"/>
            <w:vMerge w:val="continue"/>
            <w:tcBorders>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仿宋_GB2312" w:cs="Times New Roman"/>
                <w:color w:val="auto"/>
                <w:kern w:val="44"/>
                <w:sz w:val="18"/>
                <w:szCs w:val="18"/>
                <w:highlight w:val="none"/>
                <w:lang w:val="en-US" w:eastAsia="zh-CN" w:bidi="ar-SA"/>
              </w:rPr>
            </w:pPr>
            <w:r>
              <w:rPr>
                <w:rFonts w:hint="default" w:ascii="Times New Roman" w:hAnsi="Times New Roman" w:eastAsia="仿宋_GB2312" w:cs="Times New Roman"/>
                <w:color w:val="auto"/>
                <w:sz w:val="18"/>
                <w:szCs w:val="18"/>
                <w:highlight w:val="none"/>
              </w:rPr>
              <w:t>产出成本</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仿宋_GB2312" w:cs="Times New Roman"/>
                <w:color w:val="auto"/>
                <w:kern w:val="44"/>
                <w:sz w:val="18"/>
                <w:szCs w:val="18"/>
                <w:highlight w:val="none"/>
                <w:lang w:val="en-US" w:eastAsia="zh-CN" w:bidi="ar-SA"/>
              </w:rPr>
            </w:pPr>
            <w:r>
              <w:rPr>
                <w:rFonts w:hint="default" w:ascii="Times New Roman" w:hAnsi="Times New Roman" w:eastAsia="仿宋_GB2312" w:cs="Times New Roman"/>
                <w:color w:val="auto"/>
                <w:sz w:val="18"/>
                <w:szCs w:val="18"/>
                <w:highlight w:val="none"/>
              </w:rPr>
              <w:t>成本节约率</w:t>
            </w:r>
          </w:p>
        </w:tc>
        <w:tc>
          <w:tcPr>
            <w:tcW w:w="2000" w:type="dxa"/>
            <w:tcBorders>
              <w:top w:val="single" w:color="000000" w:sz="4" w:space="0"/>
              <w:left w:val="single" w:color="000000" w:sz="4" w:space="0"/>
              <w:bottom w:val="single" w:color="000000" w:sz="4" w:space="0"/>
              <w:right w:val="nil"/>
            </w:tcBorders>
            <w:shd w:val="clear" w:color="auto" w:fill="auto"/>
            <w:vAlign w:val="center"/>
          </w:tcPr>
          <w:p>
            <w:pPr>
              <w:pStyle w:val="18"/>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kern w:val="44"/>
                <w:sz w:val="18"/>
                <w:szCs w:val="18"/>
                <w:highlight w:val="none"/>
                <w:lang w:val="en-US" w:eastAsia="zh-CN" w:bidi="ar-SA"/>
              </w:rPr>
            </w:pPr>
            <w:r>
              <w:rPr>
                <w:rFonts w:hint="default" w:ascii="Times New Roman" w:hAnsi="Times New Roman" w:eastAsia="仿宋_GB2312" w:cs="Times New Roman"/>
                <w:color w:val="auto"/>
                <w:sz w:val="18"/>
                <w:szCs w:val="18"/>
                <w:highlight w:val="none"/>
              </w:rPr>
              <w:t>完成项目计划工作目标的实际节约成本与计划成本的比率，用以反映和考核项目的成本节约程度。</w:t>
            </w:r>
          </w:p>
        </w:tc>
        <w:tc>
          <w:tcPr>
            <w:tcW w:w="352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成本节约率=〔（计划成本</w:t>
            </w:r>
            <w:r>
              <w:rPr>
                <w:rFonts w:hint="default" w:ascii="Times New Roman" w:hAnsi="Times New Roman" w:eastAsia="仿宋_GB2312" w:cs="Times New Roman"/>
                <w:color w:val="auto"/>
                <w:sz w:val="18"/>
                <w:szCs w:val="18"/>
                <w:highlight w:val="none"/>
                <w:lang w:eastAsia="zh-CN"/>
              </w:rPr>
              <w:t>－</w:t>
            </w:r>
            <w:r>
              <w:rPr>
                <w:rFonts w:hint="default" w:ascii="Times New Roman" w:hAnsi="Times New Roman" w:eastAsia="仿宋_GB2312" w:cs="Times New Roman"/>
                <w:color w:val="auto"/>
                <w:sz w:val="18"/>
                <w:szCs w:val="18"/>
                <w:highlight w:val="none"/>
              </w:rPr>
              <w:t>实际成本）/计划成本〕×100%。</w:t>
            </w:r>
          </w:p>
          <w:p>
            <w:pPr>
              <w:pStyle w:val="18"/>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实际成本：项目实施单位如期、保质、保量完成既定工作目标实际所耗费的支出。</w:t>
            </w:r>
          </w:p>
          <w:p>
            <w:pPr>
              <w:pStyle w:val="18"/>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kern w:val="44"/>
                <w:sz w:val="18"/>
                <w:szCs w:val="18"/>
                <w:highlight w:val="none"/>
                <w:lang w:val="en-US" w:eastAsia="zh-CN" w:bidi="ar-SA"/>
              </w:rPr>
            </w:pPr>
            <w:r>
              <w:rPr>
                <w:rFonts w:hint="default" w:ascii="Times New Roman" w:hAnsi="Times New Roman" w:eastAsia="仿宋_GB2312" w:cs="Times New Roman"/>
                <w:color w:val="auto"/>
                <w:sz w:val="18"/>
                <w:szCs w:val="18"/>
                <w:highlight w:val="none"/>
              </w:rPr>
              <w:t>计划成本：项目实施单位为完成工作目标计划安排的支出，一般以项目预算为参考。</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ind w:firstLine="0" w:firstLineChars="0"/>
              <w:rPr>
                <w:rFonts w:hint="default" w:ascii="Times New Roman" w:hAnsi="Times New Roman" w:eastAsia="仿宋_GB2312" w:cs="Times New Roman"/>
                <w:color w:val="auto"/>
                <w:kern w:val="44"/>
                <w:sz w:val="18"/>
                <w:szCs w:val="18"/>
                <w:highlight w:val="none"/>
                <w:lang w:val="en-US" w:eastAsia="zh-CN" w:bidi="ar-SA"/>
              </w:rPr>
            </w:pPr>
            <w:r>
              <w:rPr>
                <w:rFonts w:hint="eastAsia"/>
                <w:color w:val="auto"/>
                <w:sz w:val="21"/>
                <w:szCs w:val="22"/>
                <w:highlight w:val="none"/>
                <w:lang w:val="en-US" w:eastAsia="zh-CN"/>
              </w:rPr>
              <w:t>8</w:t>
            </w:r>
          </w:p>
        </w:tc>
      </w:tr>
      <w:tr>
        <w:tblPrEx>
          <w:tblCellMar>
            <w:top w:w="0" w:type="dxa"/>
            <w:left w:w="108" w:type="dxa"/>
            <w:bottom w:w="0" w:type="dxa"/>
            <w:right w:w="108" w:type="dxa"/>
          </w:tblCellMar>
        </w:tblPrEx>
        <w:trPr>
          <w:trHeight w:val="780" w:hRule="atLeast"/>
        </w:trPr>
        <w:tc>
          <w:tcPr>
            <w:tcW w:w="6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效益</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项目效益</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实施效益</w:t>
            </w:r>
          </w:p>
        </w:tc>
        <w:tc>
          <w:tcPr>
            <w:tcW w:w="2000" w:type="dxa"/>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项目实施所产生的效益。</w:t>
            </w:r>
          </w:p>
        </w:tc>
        <w:tc>
          <w:tcPr>
            <w:tcW w:w="352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项目实施所产生的社会效益、经济效益、生态效益、可持续影响等。可根据项目实际情况有选择地设置和细化。</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10</w:t>
            </w:r>
          </w:p>
        </w:tc>
      </w:tr>
      <w:tr>
        <w:tblPrEx>
          <w:tblCellMar>
            <w:top w:w="0" w:type="dxa"/>
            <w:left w:w="108" w:type="dxa"/>
            <w:bottom w:w="0" w:type="dxa"/>
            <w:right w:w="108" w:type="dxa"/>
          </w:tblCellMar>
        </w:tblPrEx>
        <w:trPr>
          <w:trHeight w:val="8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满意度</w:t>
            </w:r>
          </w:p>
        </w:tc>
        <w:tc>
          <w:tcPr>
            <w:tcW w:w="2000" w:type="dxa"/>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社会公众或服务对象对项目实施效果的满意程度。</w:t>
            </w:r>
          </w:p>
        </w:tc>
        <w:tc>
          <w:tcPr>
            <w:tcW w:w="352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社会公众或服务对象是指因该项目实施而受到影响的部门（单位）、群体或个人。一般采取社会调查的方式。</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10</w:t>
            </w:r>
          </w:p>
        </w:tc>
      </w:tr>
      <w:tr>
        <w:tblPrEx>
          <w:tblCellMar>
            <w:top w:w="0" w:type="dxa"/>
            <w:left w:w="108" w:type="dxa"/>
            <w:bottom w:w="0" w:type="dxa"/>
            <w:right w:w="108" w:type="dxa"/>
          </w:tblCellMar>
        </w:tblPrEx>
        <w:trPr>
          <w:trHeight w:val="460" w:hRule="atLeast"/>
        </w:trPr>
        <w:tc>
          <w:tcPr>
            <w:tcW w:w="76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合计</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100</w:t>
            </w:r>
          </w:p>
        </w:tc>
      </w:tr>
    </w:tbl>
    <w:p>
      <w:pPr>
        <w:pStyle w:val="2"/>
        <w:rPr>
          <w:color w:val="auto"/>
          <w:highlight w:val="none"/>
        </w:rPr>
      </w:pP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color w:val="auto"/>
          <w:highlight w:val="none"/>
        </w:rPr>
      </w:pPr>
      <w:bookmarkStart w:id="16" w:name="_Toc4156"/>
      <w:bookmarkStart w:id="17" w:name="_Toc15680"/>
      <w:r>
        <w:rPr>
          <w:rFonts w:hint="eastAsia"/>
          <w:color w:val="auto"/>
          <w:highlight w:val="none"/>
        </w:rPr>
        <w:t>3、绩效评价方法</w:t>
      </w:r>
      <w:bookmarkEnd w:id="16"/>
      <w:bookmarkEnd w:id="17"/>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结合</w:t>
      </w:r>
      <w:r>
        <w:rPr>
          <w:rFonts w:hint="eastAsia" w:ascii="仿宋_GB2312" w:hAnsi="仿宋_GB2312" w:cs="仿宋_GB2312"/>
          <w:b w:val="0"/>
          <w:bCs w:val="0"/>
          <w:snapToGrid w:val="0"/>
          <w:color w:val="auto"/>
          <w:kern w:val="2"/>
          <w:sz w:val="32"/>
          <w:szCs w:val="32"/>
          <w:highlight w:val="none"/>
          <w:lang w:val="en-US" w:eastAsia="zh-CN" w:bidi="ar-SA"/>
        </w:rPr>
        <w:t>尉犁县2023年国家级公益林管护项目</w:t>
      </w:r>
      <w:r>
        <w:rPr>
          <w:rFonts w:hint="eastAsia" w:ascii="仿宋_GB2312" w:hAnsi="仿宋_GB2312" w:eastAsia="仿宋_GB2312" w:cs="仿宋_GB2312"/>
          <w:b w:val="0"/>
          <w:bCs w:val="0"/>
          <w:snapToGrid w:val="0"/>
          <w:color w:val="auto"/>
          <w:kern w:val="2"/>
          <w:sz w:val="32"/>
          <w:szCs w:val="32"/>
          <w:highlight w:val="none"/>
          <w:lang w:val="en-US" w:eastAsia="zh-CN" w:bidi="ar-SA"/>
        </w:rPr>
        <w:t>的特点，本次评价主要运用比较法、公众评判法，原因是：</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比较法：本项目绩效评价将项目实施情况即实际完成的国家级公益林管护面积、国家级公益林有效管护率与年初设定的目标进行比较。</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公众评判法：通过对国家级公益林管护人员、群众进行问卷及抽样调查等对财政资金</w:t>
      </w:r>
      <w:r>
        <w:rPr>
          <w:rFonts w:hint="eastAsia" w:ascii="仿宋_GB2312" w:hAnsi="仿宋_GB2312" w:cs="仿宋_GB2312"/>
          <w:b w:val="0"/>
          <w:bCs w:val="0"/>
          <w:snapToGrid w:val="0"/>
          <w:color w:val="auto"/>
          <w:kern w:val="2"/>
          <w:sz w:val="32"/>
          <w:szCs w:val="32"/>
          <w:highlight w:val="none"/>
          <w:lang w:val="en-US" w:eastAsia="zh-CN" w:bidi="ar-SA"/>
        </w:rPr>
        <w:t>使用</w:t>
      </w:r>
      <w:r>
        <w:rPr>
          <w:rFonts w:hint="eastAsia" w:ascii="仿宋_GB2312" w:hAnsi="仿宋_GB2312" w:eastAsia="仿宋_GB2312" w:cs="仿宋_GB2312"/>
          <w:b w:val="0"/>
          <w:bCs w:val="0"/>
          <w:snapToGrid w:val="0"/>
          <w:color w:val="auto"/>
          <w:kern w:val="2"/>
          <w:sz w:val="32"/>
          <w:szCs w:val="32"/>
          <w:highlight w:val="none"/>
          <w:lang w:val="en-US" w:eastAsia="zh-CN" w:bidi="ar-SA"/>
        </w:rPr>
        <w:t>效果进行评判，评价绩效目标实现程度。</w:t>
      </w:r>
    </w:p>
    <w:p>
      <w:pPr>
        <w:bidi w:val="0"/>
        <w:rPr>
          <w:b/>
          <w:bCs/>
          <w:color w:val="auto"/>
          <w:highlight w:val="none"/>
        </w:rPr>
      </w:pPr>
      <w:r>
        <w:rPr>
          <w:rFonts w:hint="eastAsia"/>
          <w:b/>
          <w:bCs/>
          <w:color w:val="auto"/>
          <w:highlight w:val="none"/>
        </w:rPr>
        <w:t>4、绩效评价标准</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结合</w:t>
      </w:r>
      <w:r>
        <w:rPr>
          <w:rFonts w:hint="eastAsia" w:ascii="仿宋_GB2312" w:hAnsi="仿宋_GB2312" w:cs="仿宋_GB2312"/>
          <w:b w:val="0"/>
          <w:bCs w:val="0"/>
          <w:snapToGrid w:val="0"/>
          <w:color w:val="auto"/>
          <w:kern w:val="2"/>
          <w:sz w:val="32"/>
          <w:szCs w:val="32"/>
          <w:highlight w:val="none"/>
          <w:lang w:val="en-US" w:eastAsia="zh-CN" w:bidi="ar-SA"/>
        </w:rPr>
        <w:t>尉犁县2023年国家级公益林管护项目</w:t>
      </w:r>
      <w:r>
        <w:rPr>
          <w:rFonts w:hint="eastAsia" w:ascii="仿宋_GB2312" w:hAnsi="仿宋_GB2312" w:eastAsia="仿宋_GB2312" w:cs="仿宋_GB2312"/>
          <w:b w:val="0"/>
          <w:bCs w:val="0"/>
          <w:snapToGrid w:val="0"/>
          <w:color w:val="auto"/>
          <w:kern w:val="2"/>
          <w:sz w:val="32"/>
          <w:szCs w:val="32"/>
          <w:highlight w:val="none"/>
          <w:lang w:val="en-US" w:eastAsia="zh-CN" w:bidi="ar-SA"/>
        </w:rPr>
        <w:t>的特点，本次项目支出绩效自评采用了以下标准：</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（1）计划标准，原因是：根据绩效目标表，以预先制定的国家级公益林管护面积245.69万亩</w:t>
      </w:r>
      <w:r>
        <w:rPr>
          <w:rFonts w:hint="eastAsia" w:ascii="仿宋_GB2312" w:hAnsi="仿宋_GB2312" w:cs="仿宋_GB2312"/>
          <w:b w:val="0"/>
          <w:bCs w:val="0"/>
          <w:snapToGrid w:val="0"/>
          <w:color w:val="auto"/>
          <w:kern w:val="2"/>
          <w:sz w:val="32"/>
          <w:szCs w:val="32"/>
          <w:highlight w:val="none"/>
          <w:lang w:val="en-US" w:eastAsia="zh-CN" w:bidi="ar-SA"/>
        </w:rPr>
        <w:t>等</w:t>
      </w:r>
      <w:r>
        <w:rPr>
          <w:rFonts w:hint="eastAsia" w:ascii="仿宋_GB2312" w:hAnsi="仿宋_GB2312" w:eastAsia="仿宋_GB2312" w:cs="仿宋_GB2312"/>
          <w:b w:val="0"/>
          <w:bCs w:val="0"/>
          <w:snapToGrid w:val="0"/>
          <w:color w:val="auto"/>
          <w:kern w:val="2"/>
          <w:sz w:val="32"/>
          <w:szCs w:val="32"/>
          <w:highlight w:val="none"/>
          <w:lang w:val="en-US" w:eastAsia="zh-CN" w:bidi="ar-SA"/>
        </w:rPr>
        <w:t>计划数作为评价的标准。</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（2）历史标准，原因是：参照本单位同类单位绩效评价指标的历史数据作为样本，运用一定的统计学方法计算出各类指标的平均历史水平作为评价标准。</w:t>
      </w:r>
    </w:p>
    <w:p>
      <w:pPr>
        <w:pStyle w:val="2"/>
        <w:bidi w:val="0"/>
        <w:outlineLvl w:val="1"/>
        <w:rPr>
          <w:color w:val="auto"/>
          <w:highlight w:val="none"/>
        </w:rPr>
      </w:pPr>
      <w:bookmarkStart w:id="18" w:name="_Toc23796"/>
      <w:bookmarkStart w:id="19" w:name="_Toc24150"/>
      <w:r>
        <w:rPr>
          <w:rFonts w:hint="eastAsia"/>
          <w:color w:val="auto"/>
          <w:highlight w:val="none"/>
        </w:rPr>
        <w:t>（三）绩效评价工作过程</w:t>
      </w:r>
      <w:bookmarkEnd w:id="18"/>
      <w:bookmarkEnd w:id="19"/>
      <w:bookmarkStart w:id="20" w:name="_Toc17595"/>
      <w:bookmarkStart w:id="21" w:name="_Toc30911"/>
      <w:bookmarkStart w:id="22" w:name="_Toc22987"/>
      <w:bookmarkStart w:id="23" w:name="_Toc27442"/>
    </w:p>
    <w:p>
      <w:pPr>
        <w:bidi w:val="0"/>
        <w:rPr>
          <w:b/>
          <w:bCs/>
          <w:color w:val="auto"/>
          <w:highlight w:val="none"/>
        </w:rPr>
      </w:pPr>
      <w:r>
        <w:rPr>
          <w:rFonts w:hint="eastAsia"/>
          <w:b/>
          <w:bCs/>
          <w:color w:val="auto"/>
          <w:highlight w:val="none"/>
        </w:rPr>
        <w:t>1、前期准备</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按照《项目支出绩效评价管理办法》（财预〔2020〕10号）文件要求，尉犁县林业和草原局成立了绩效评价小组，对项目实施的全过程，收集、整理项目实施的相关资料，了解项目实施情况和资金支付情况。从项目内容出发，结合项目预期目标，制定绩效评价的指标体系。</w:t>
      </w:r>
    </w:p>
    <w:p>
      <w:pPr>
        <w:bidi w:val="0"/>
        <w:rPr>
          <w:b/>
          <w:bCs/>
          <w:color w:val="auto"/>
          <w:highlight w:val="none"/>
        </w:rPr>
      </w:pPr>
      <w:r>
        <w:rPr>
          <w:rFonts w:hint="eastAsia"/>
          <w:b/>
          <w:bCs/>
          <w:color w:val="auto"/>
          <w:highlight w:val="none"/>
        </w:rPr>
        <w:t>2、组织实施</w:t>
      </w:r>
    </w:p>
    <w:p>
      <w:pPr>
        <w:bidi w:val="0"/>
        <w:rPr>
          <w:color w:val="auto"/>
          <w:highlight w:val="none"/>
        </w:rPr>
      </w:pPr>
      <w:r>
        <w:rPr>
          <w:rFonts w:hint="eastAsia"/>
          <w:color w:val="auto"/>
          <w:highlight w:val="none"/>
        </w:rPr>
        <w:t>评价的具体实施根据评价指标及评价工作要求，对具体评价内容和不同环节，采用以下取得的资料与评价方式。</w:t>
      </w:r>
    </w:p>
    <w:p>
      <w:pPr>
        <w:bidi w:val="0"/>
        <w:rPr>
          <w:color w:val="auto"/>
          <w:highlight w:val="none"/>
        </w:rPr>
      </w:pPr>
      <w:r>
        <w:rPr>
          <w:rFonts w:hint="eastAsia"/>
          <w:color w:val="auto"/>
          <w:highlight w:val="none"/>
        </w:rPr>
        <w:t>（1）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rPr>
          <w:color w:val="auto"/>
          <w:highlight w:val="none"/>
        </w:rPr>
      </w:pPr>
      <w:r>
        <w:rPr>
          <w:rFonts w:hint="eastAsia"/>
          <w:color w:val="auto"/>
          <w:highlight w:val="none"/>
        </w:rPr>
        <w:t>（2）问卷调查。选择与项目评价有关的调查对象，设计调查问卷。通过问卷调查，对有关评价内容完成情况进行打分，并根据分值评价绩效目标完成情况，作为对项目评价的依据。</w:t>
      </w:r>
    </w:p>
    <w:p>
      <w:pPr>
        <w:bidi w:val="0"/>
        <w:rPr>
          <w:color w:val="auto"/>
          <w:highlight w:val="none"/>
        </w:rPr>
      </w:pPr>
      <w:r>
        <w:rPr>
          <w:rFonts w:hint="eastAsia"/>
          <w:color w:val="auto"/>
          <w:highlight w:val="none"/>
        </w:rPr>
        <w:t>（3）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b/>
          <w:bCs/>
          <w:color w:val="auto"/>
          <w:highlight w:val="none"/>
        </w:rPr>
      </w:pPr>
      <w:r>
        <w:rPr>
          <w:rFonts w:hint="eastAsia"/>
          <w:b/>
          <w:bCs/>
          <w:color w:val="auto"/>
          <w:highlight w:val="none"/>
        </w:rPr>
        <w:t>3、数据集中分析</w:t>
      </w:r>
      <w:bookmarkEnd w:id="20"/>
      <w:bookmarkEnd w:id="21"/>
      <w:bookmarkEnd w:id="22"/>
      <w:bookmarkEnd w:id="23"/>
    </w:p>
    <w:p>
      <w:pPr>
        <w:bidi w:val="0"/>
        <w:rPr>
          <w:color w:val="auto"/>
          <w:highlight w:val="none"/>
        </w:rPr>
      </w:pPr>
      <w:r>
        <w:rPr>
          <w:rFonts w:hint="eastAsia"/>
          <w:color w:val="auto"/>
          <w:highlight w:val="none"/>
        </w:rPr>
        <w:t>对相关资料，包括资金文件、项目实施方案、相关管理办法，问卷调查等进行集中分析。在查阅大量项目资料的基础上，根据考察、考评的结果进行整理、分析。</w:t>
      </w:r>
      <w:bookmarkStart w:id="24" w:name="_Toc20775"/>
    </w:p>
    <w:p>
      <w:pPr>
        <w:bidi w:val="0"/>
        <w:rPr>
          <w:b/>
          <w:bCs/>
          <w:color w:val="auto"/>
          <w:highlight w:val="none"/>
        </w:rPr>
      </w:pPr>
      <w:r>
        <w:rPr>
          <w:rFonts w:hint="eastAsia"/>
          <w:b/>
          <w:bCs/>
          <w:color w:val="auto"/>
          <w:highlight w:val="none"/>
        </w:rPr>
        <w:t>4、分析总结</w:t>
      </w:r>
      <w:bookmarkEnd w:id="24"/>
    </w:p>
    <w:p>
      <w:pPr>
        <w:bidi w:val="0"/>
        <w:rPr>
          <w:color w:val="auto"/>
          <w:highlight w:val="none"/>
        </w:rPr>
      </w:pPr>
      <w:r>
        <w:rPr>
          <w:rFonts w:hint="eastAsia"/>
          <w:color w:val="auto"/>
          <w:highlight w:val="none"/>
        </w:rPr>
        <w:t>（1）根据部门自评的意见及考察、考评的结果进行整理、分析，撰写绩效评价报告初稿。</w:t>
      </w:r>
    </w:p>
    <w:p>
      <w:pPr>
        <w:bidi w:val="0"/>
        <w:rPr>
          <w:color w:val="auto"/>
          <w:highlight w:val="none"/>
        </w:rPr>
      </w:pPr>
      <w:r>
        <w:rPr>
          <w:rFonts w:hint="eastAsia"/>
          <w:color w:val="auto"/>
          <w:highlight w:val="none"/>
        </w:rPr>
        <w:t>（2）就部门自评报告与部门具体有关科室征求意见，形成最终的绩效评价报告。</w:t>
      </w:r>
    </w:p>
    <w:p>
      <w:pPr>
        <w:pStyle w:val="4"/>
        <w:bidi w:val="0"/>
        <w:outlineLvl w:val="0"/>
        <w:rPr>
          <w:color w:val="auto"/>
          <w:highlight w:val="none"/>
        </w:rPr>
      </w:pPr>
      <w:bookmarkStart w:id="25" w:name="_Toc20784"/>
      <w:bookmarkStart w:id="26" w:name="_Toc445"/>
      <w:r>
        <w:rPr>
          <w:rFonts w:hint="eastAsia"/>
          <w:color w:val="auto"/>
          <w:highlight w:val="none"/>
        </w:rPr>
        <w:t>三、综合评价情况及评价结论</w:t>
      </w:r>
      <w:bookmarkEnd w:id="25"/>
      <w:bookmarkEnd w:id="26"/>
    </w:p>
    <w:p>
      <w:pPr>
        <w:bidi w:val="0"/>
        <w:rPr>
          <w:color w:val="auto"/>
          <w:highlight w:val="none"/>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本项目的绩效评价结果为“优”，综合评分</w:t>
      </w:r>
      <w:r>
        <w:rPr>
          <w:rFonts w:hint="eastAsia" w:ascii="仿宋_GB2312" w:hAnsi="仿宋_GB2312" w:cs="仿宋_GB2312"/>
          <w:b w:val="0"/>
          <w:bCs w:val="0"/>
          <w:snapToGrid w:val="0"/>
          <w:color w:val="auto"/>
          <w:kern w:val="2"/>
          <w:sz w:val="32"/>
          <w:szCs w:val="32"/>
          <w:highlight w:val="none"/>
          <w:lang w:val="en-US" w:eastAsia="zh-CN" w:bidi="ar-SA"/>
        </w:rPr>
        <w:t>98.67</w:t>
      </w:r>
      <w:r>
        <w:rPr>
          <w:rFonts w:hint="eastAsia" w:ascii="仿宋_GB2312" w:hAnsi="仿宋_GB2312" w:eastAsia="仿宋_GB2312" w:cs="仿宋_GB2312"/>
          <w:b w:val="0"/>
          <w:bCs w:val="0"/>
          <w:snapToGrid w:val="0"/>
          <w:color w:val="auto"/>
          <w:kern w:val="2"/>
          <w:sz w:val="32"/>
          <w:szCs w:val="32"/>
          <w:highlight w:val="none"/>
          <w:lang w:val="en-US" w:eastAsia="zh-CN" w:bidi="ar-SA"/>
        </w:rPr>
        <w:t>分。其中项目决策22分，项目过程</w:t>
      </w:r>
      <w:r>
        <w:rPr>
          <w:rFonts w:hint="eastAsia" w:ascii="仿宋_GB2312" w:hAnsi="仿宋_GB2312" w:cs="仿宋_GB2312"/>
          <w:b w:val="0"/>
          <w:bCs w:val="0"/>
          <w:snapToGrid w:val="0"/>
          <w:color w:val="auto"/>
          <w:kern w:val="2"/>
          <w:sz w:val="32"/>
          <w:szCs w:val="32"/>
          <w:highlight w:val="none"/>
          <w:lang w:val="en-US" w:eastAsia="zh-CN" w:bidi="ar-SA"/>
        </w:rPr>
        <w:t>17.55</w:t>
      </w:r>
      <w:r>
        <w:rPr>
          <w:rFonts w:hint="eastAsia" w:ascii="仿宋_GB2312" w:hAnsi="仿宋_GB2312" w:eastAsia="仿宋_GB2312" w:cs="仿宋_GB2312"/>
          <w:b w:val="0"/>
          <w:bCs w:val="0"/>
          <w:snapToGrid w:val="0"/>
          <w:color w:val="auto"/>
          <w:kern w:val="2"/>
          <w:sz w:val="32"/>
          <w:szCs w:val="32"/>
          <w:highlight w:val="none"/>
          <w:lang w:val="en-US" w:eastAsia="zh-CN" w:bidi="ar-SA"/>
        </w:rPr>
        <w:t>分，项目产出管理得分</w:t>
      </w:r>
      <w:r>
        <w:rPr>
          <w:rFonts w:hint="eastAsia" w:ascii="仿宋_GB2312" w:hAnsi="仿宋_GB2312" w:cs="仿宋_GB2312"/>
          <w:b w:val="0"/>
          <w:bCs w:val="0"/>
          <w:snapToGrid w:val="0"/>
          <w:color w:val="auto"/>
          <w:kern w:val="2"/>
          <w:sz w:val="32"/>
          <w:szCs w:val="32"/>
          <w:highlight w:val="none"/>
          <w:lang w:val="en-US" w:eastAsia="zh-CN" w:bidi="ar-SA"/>
        </w:rPr>
        <w:t>39.12</w:t>
      </w:r>
      <w:r>
        <w:rPr>
          <w:rFonts w:hint="eastAsia" w:ascii="仿宋_GB2312" w:hAnsi="仿宋_GB2312" w:eastAsia="仿宋_GB2312" w:cs="仿宋_GB2312"/>
          <w:b w:val="0"/>
          <w:bCs w:val="0"/>
          <w:snapToGrid w:val="0"/>
          <w:color w:val="auto"/>
          <w:kern w:val="2"/>
          <w:sz w:val="32"/>
          <w:szCs w:val="32"/>
          <w:highlight w:val="none"/>
          <w:lang w:val="en-US" w:eastAsia="zh-CN" w:bidi="ar-SA"/>
        </w:rPr>
        <w:t>分，项目效益20分。各部分权重和绩效汇总分值如下表所</w:t>
      </w:r>
      <w:r>
        <w:rPr>
          <w:rFonts w:hint="eastAsia"/>
          <w:color w:val="auto"/>
          <w:highlight w:val="none"/>
        </w:rPr>
        <w:t>示：</w:t>
      </w:r>
    </w:p>
    <w:tbl>
      <w:tblPr>
        <w:tblStyle w:val="14"/>
        <w:tblW w:w="8289" w:type="dxa"/>
        <w:jc w:val="center"/>
        <w:tblLayout w:type="fixed"/>
        <w:tblCellMar>
          <w:top w:w="0" w:type="dxa"/>
          <w:left w:w="0" w:type="dxa"/>
          <w:bottom w:w="0" w:type="dxa"/>
          <w:right w:w="0" w:type="dxa"/>
        </w:tblCellMar>
      </w:tblPr>
      <w:tblGrid>
        <w:gridCol w:w="1094"/>
        <w:gridCol w:w="1541"/>
        <w:gridCol w:w="1520"/>
        <w:gridCol w:w="1536"/>
        <w:gridCol w:w="1504"/>
        <w:gridCol w:w="1094"/>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tcMar>
              <w:top w:w="15" w:type="dxa"/>
              <w:left w:w="15" w:type="dxa"/>
              <w:right w:w="15" w:type="dxa"/>
            </w:tcMar>
            <w:vAlign w:val="center"/>
          </w:tcPr>
          <w:p>
            <w:pPr>
              <w:pStyle w:val="17"/>
              <w:bidi w:val="0"/>
              <w:rPr>
                <w:color w:val="auto"/>
                <w:highlight w:val="none"/>
              </w:rPr>
            </w:pPr>
            <w:bookmarkStart w:id="27" w:name="_Toc3796"/>
            <w:r>
              <w:rPr>
                <w:rFonts w:hint="eastAsia"/>
                <w:color w:val="auto"/>
                <w:highlight w:val="none"/>
                <w:lang w:eastAsia="zh-CN"/>
              </w:rPr>
              <w:t>尉犁县2023年国家级公益林管护项目</w:t>
            </w:r>
            <w:r>
              <w:rPr>
                <w:rFonts w:hint="eastAsia"/>
                <w:color w:val="auto"/>
                <w:highlight w:val="none"/>
              </w:rPr>
              <w:t>绩效评价</w:t>
            </w:r>
            <w:r>
              <w:rPr>
                <w:rFonts w:hint="eastAsia"/>
                <w:color w:val="auto"/>
                <w:highlight w:val="none"/>
                <w:lang w:val="zh-TW" w:eastAsia="zh-TW"/>
              </w:rPr>
              <w:t>得分表</w:t>
            </w:r>
            <w:bookmarkEnd w:id="27"/>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28" w:name="_Toc16086"/>
            <w:r>
              <w:rPr>
                <w:rFonts w:hint="eastAsia"/>
                <w:color w:val="auto"/>
                <w:highlight w:val="none"/>
              </w:rPr>
              <w:t>指标类别</w:t>
            </w:r>
            <w:bookmarkEnd w:id="28"/>
          </w:p>
        </w:tc>
        <w:tc>
          <w:tcPr>
            <w:tcW w:w="15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29" w:name="_Toc12650"/>
            <w:r>
              <w:rPr>
                <w:rFonts w:hint="eastAsia"/>
                <w:color w:val="auto"/>
                <w:highlight w:val="none"/>
              </w:rPr>
              <w:t>1.项目决策</w:t>
            </w:r>
            <w:bookmarkEnd w:id="29"/>
          </w:p>
        </w:tc>
        <w:tc>
          <w:tcPr>
            <w:tcW w:w="15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30" w:name="_Toc30866"/>
            <w:r>
              <w:rPr>
                <w:rFonts w:hint="eastAsia"/>
                <w:color w:val="auto"/>
                <w:highlight w:val="none"/>
              </w:rPr>
              <w:t>2.过程管理</w:t>
            </w:r>
            <w:bookmarkEnd w:id="30"/>
          </w:p>
        </w:tc>
        <w:tc>
          <w:tcPr>
            <w:tcW w:w="15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31" w:name="_Toc4708"/>
            <w:r>
              <w:rPr>
                <w:rFonts w:hint="eastAsia"/>
                <w:color w:val="auto"/>
                <w:highlight w:val="none"/>
              </w:rPr>
              <w:t>3.项目产出</w:t>
            </w:r>
            <w:bookmarkEnd w:id="31"/>
          </w:p>
        </w:tc>
        <w:tc>
          <w:tcPr>
            <w:tcW w:w="1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32" w:name="_Toc21314"/>
            <w:r>
              <w:rPr>
                <w:rFonts w:hint="eastAsia"/>
                <w:color w:val="auto"/>
                <w:highlight w:val="none"/>
              </w:rPr>
              <w:t>4.项目效益</w:t>
            </w:r>
            <w:bookmarkEnd w:id="32"/>
          </w:p>
        </w:tc>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33" w:name="_Toc4379"/>
            <w:r>
              <w:rPr>
                <w:rFonts w:hint="eastAsia"/>
                <w:color w:val="auto"/>
                <w:highlight w:val="none"/>
              </w:rPr>
              <w:t>合计</w:t>
            </w:r>
            <w:bookmarkEnd w:id="33"/>
          </w:p>
        </w:tc>
      </w:tr>
      <w:tr>
        <w:tblPrEx>
          <w:tblCellMar>
            <w:top w:w="0" w:type="dxa"/>
            <w:left w:w="0" w:type="dxa"/>
            <w:bottom w:w="0" w:type="dxa"/>
            <w:right w:w="0" w:type="dxa"/>
          </w:tblCellMar>
        </w:tblPrEx>
        <w:trPr>
          <w:trHeight w:val="441"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34" w:name="_Toc5094"/>
            <w:r>
              <w:rPr>
                <w:rFonts w:hint="eastAsia"/>
                <w:color w:val="auto"/>
                <w:highlight w:val="none"/>
              </w:rPr>
              <w:t>权重</w:t>
            </w:r>
            <w:bookmarkEnd w:id="34"/>
          </w:p>
        </w:tc>
        <w:tc>
          <w:tcPr>
            <w:tcW w:w="15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35" w:name="_Toc23926"/>
            <w:r>
              <w:rPr>
                <w:rFonts w:hint="eastAsia"/>
                <w:color w:val="auto"/>
                <w:highlight w:val="none"/>
              </w:rPr>
              <w:t>22%</w:t>
            </w:r>
            <w:bookmarkEnd w:id="35"/>
          </w:p>
        </w:tc>
        <w:tc>
          <w:tcPr>
            <w:tcW w:w="15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36" w:name="_Toc13857"/>
            <w:r>
              <w:rPr>
                <w:rFonts w:hint="eastAsia"/>
                <w:color w:val="auto"/>
                <w:highlight w:val="none"/>
              </w:rPr>
              <w:t>18%</w:t>
            </w:r>
            <w:bookmarkEnd w:id="36"/>
          </w:p>
        </w:tc>
        <w:tc>
          <w:tcPr>
            <w:tcW w:w="15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37" w:name="_Toc19065"/>
            <w:r>
              <w:rPr>
                <w:rFonts w:hint="eastAsia"/>
                <w:color w:val="auto"/>
                <w:highlight w:val="none"/>
              </w:rPr>
              <w:t>40%</w:t>
            </w:r>
            <w:bookmarkEnd w:id="37"/>
          </w:p>
        </w:tc>
        <w:tc>
          <w:tcPr>
            <w:tcW w:w="1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38" w:name="_Toc14100"/>
            <w:r>
              <w:rPr>
                <w:rFonts w:hint="eastAsia"/>
                <w:color w:val="auto"/>
                <w:highlight w:val="none"/>
              </w:rPr>
              <w:t>20%</w:t>
            </w:r>
            <w:bookmarkEnd w:id="38"/>
          </w:p>
        </w:tc>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39" w:name="_Toc9800"/>
            <w:r>
              <w:rPr>
                <w:rFonts w:hint="eastAsia"/>
                <w:color w:val="auto"/>
                <w:highlight w:val="none"/>
              </w:rPr>
              <w:t>100%</w:t>
            </w:r>
            <w:bookmarkEnd w:id="39"/>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40" w:name="_Toc25550"/>
            <w:r>
              <w:rPr>
                <w:rFonts w:hint="eastAsia"/>
                <w:color w:val="auto"/>
                <w:highlight w:val="none"/>
              </w:rPr>
              <w:t>分值</w:t>
            </w:r>
            <w:bookmarkEnd w:id="40"/>
          </w:p>
        </w:tc>
        <w:tc>
          <w:tcPr>
            <w:tcW w:w="15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41" w:name="_Toc19271"/>
            <w:r>
              <w:rPr>
                <w:rFonts w:hint="eastAsia"/>
                <w:color w:val="auto"/>
                <w:highlight w:val="none"/>
              </w:rPr>
              <w:t>22</w:t>
            </w:r>
            <w:bookmarkEnd w:id="41"/>
          </w:p>
        </w:tc>
        <w:tc>
          <w:tcPr>
            <w:tcW w:w="15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42" w:name="_Toc12397"/>
            <w:r>
              <w:rPr>
                <w:rFonts w:hint="eastAsia"/>
                <w:color w:val="auto"/>
                <w:highlight w:val="none"/>
              </w:rPr>
              <w:t>18</w:t>
            </w:r>
            <w:bookmarkEnd w:id="42"/>
          </w:p>
        </w:tc>
        <w:tc>
          <w:tcPr>
            <w:tcW w:w="15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43" w:name="_Toc31552"/>
            <w:r>
              <w:rPr>
                <w:rFonts w:hint="eastAsia"/>
                <w:color w:val="auto"/>
                <w:highlight w:val="none"/>
              </w:rPr>
              <w:t>40</w:t>
            </w:r>
            <w:bookmarkEnd w:id="43"/>
          </w:p>
        </w:tc>
        <w:tc>
          <w:tcPr>
            <w:tcW w:w="1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44" w:name="_Toc1321"/>
            <w:r>
              <w:rPr>
                <w:rFonts w:hint="eastAsia"/>
                <w:color w:val="auto"/>
                <w:highlight w:val="none"/>
              </w:rPr>
              <w:t>20</w:t>
            </w:r>
            <w:bookmarkEnd w:id="44"/>
          </w:p>
        </w:tc>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45" w:name="_Toc23735"/>
            <w:r>
              <w:rPr>
                <w:rFonts w:hint="eastAsia"/>
                <w:color w:val="auto"/>
                <w:highlight w:val="none"/>
              </w:rPr>
              <w:t>100</w:t>
            </w:r>
            <w:bookmarkEnd w:id="45"/>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46" w:name="_Toc6370"/>
            <w:r>
              <w:rPr>
                <w:rFonts w:hint="eastAsia"/>
                <w:color w:val="auto"/>
                <w:highlight w:val="none"/>
              </w:rPr>
              <w:t>得分</w:t>
            </w:r>
            <w:bookmarkEnd w:id="46"/>
          </w:p>
        </w:tc>
        <w:tc>
          <w:tcPr>
            <w:tcW w:w="15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47" w:name="_Toc29648"/>
            <w:r>
              <w:rPr>
                <w:rFonts w:hint="eastAsia"/>
                <w:color w:val="auto"/>
                <w:highlight w:val="none"/>
              </w:rPr>
              <w:t>22</w:t>
            </w:r>
            <w:bookmarkEnd w:id="47"/>
          </w:p>
        </w:tc>
        <w:tc>
          <w:tcPr>
            <w:tcW w:w="15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rFonts w:hint="default" w:eastAsia="仿宋_GB2312"/>
                <w:color w:val="auto"/>
                <w:highlight w:val="none"/>
                <w:lang w:val="en-US" w:eastAsia="zh-CN"/>
              </w:rPr>
            </w:pPr>
            <w:r>
              <w:rPr>
                <w:rFonts w:hint="eastAsia"/>
                <w:color w:val="auto"/>
                <w:highlight w:val="none"/>
                <w:lang w:val="en-US" w:eastAsia="zh-CN"/>
              </w:rPr>
              <w:t>17.55</w:t>
            </w:r>
          </w:p>
        </w:tc>
        <w:tc>
          <w:tcPr>
            <w:tcW w:w="15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rFonts w:hint="eastAsia" w:eastAsia="仿宋_GB2312"/>
                <w:color w:val="auto"/>
                <w:highlight w:val="none"/>
                <w:lang w:eastAsia="zh-CN"/>
              </w:rPr>
            </w:pPr>
            <w:r>
              <w:rPr>
                <w:rFonts w:hint="eastAsia"/>
                <w:color w:val="auto"/>
                <w:highlight w:val="none"/>
                <w:lang w:val="en-US" w:eastAsia="zh-CN"/>
              </w:rPr>
              <w:t>39.12</w:t>
            </w:r>
          </w:p>
        </w:tc>
        <w:tc>
          <w:tcPr>
            <w:tcW w:w="1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color w:val="auto"/>
                <w:highlight w:val="none"/>
              </w:rPr>
            </w:pPr>
            <w:bookmarkStart w:id="48" w:name="_Toc23556"/>
            <w:r>
              <w:rPr>
                <w:rFonts w:hint="eastAsia"/>
                <w:color w:val="auto"/>
                <w:highlight w:val="none"/>
              </w:rPr>
              <w:t>20</w:t>
            </w:r>
            <w:bookmarkEnd w:id="48"/>
          </w:p>
        </w:tc>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8"/>
              <w:bidi w:val="0"/>
              <w:rPr>
                <w:rFonts w:hint="default" w:eastAsia="仿宋_GB2312"/>
                <w:color w:val="auto"/>
                <w:highlight w:val="none"/>
                <w:lang w:val="en-US" w:eastAsia="zh-CN"/>
              </w:rPr>
            </w:pPr>
            <w:bookmarkStart w:id="49" w:name="_Toc26780"/>
            <w:r>
              <w:rPr>
                <w:rFonts w:hint="eastAsia"/>
                <w:color w:val="auto"/>
                <w:highlight w:val="none"/>
                <w:lang w:val="en-US" w:eastAsia="zh-CN"/>
              </w:rPr>
              <w:t>9</w:t>
            </w:r>
            <w:bookmarkEnd w:id="49"/>
            <w:r>
              <w:rPr>
                <w:rFonts w:hint="eastAsia"/>
                <w:color w:val="auto"/>
                <w:highlight w:val="none"/>
                <w:lang w:val="en-US" w:eastAsia="zh-CN"/>
              </w:rPr>
              <w:t>8.67</w:t>
            </w:r>
          </w:p>
        </w:tc>
      </w:tr>
    </w:tbl>
    <w:p>
      <w:pPr>
        <w:bidi w:val="0"/>
        <w:ind w:left="0" w:leftChars="0" w:firstLine="0" w:firstLineChars="0"/>
        <w:rPr>
          <w:color w:val="auto"/>
          <w:highlight w:val="none"/>
        </w:rPr>
      </w:pPr>
    </w:p>
    <w:p>
      <w:pPr>
        <w:pStyle w:val="4"/>
        <w:bidi w:val="0"/>
        <w:outlineLvl w:val="0"/>
        <w:rPr>
          <w:color w:val="auto"/>
          <w:highlight w:val="none"/>
        </w:rPr>
      </w:pPr>
      <w:bookmarkStart w:id="50" w:name="_Toc8960"/>
      <w:bookmarkStart w:id="51" w:name="_Toc32556"/>
      <w:r>
        <w:rPr>
          <w:rFonts w:hint="eastAsia"/>
          <w:color w:val="auto"/>
          <w:highlight w:val="none"/>
        </w:rPr>
        <w:t>四、绩效评价指标分析</w:t>
      </w:r>
      <w:bookmarkEnd w:id="50"/>
      <w:bookmarkEnd w:id="51"/>
    </w:p>
    <w:p>
      <w:pPr>
        <w:pStyle w:val="2"/>
        <w:bidi w:val="0"/>
        <w:outlineLvl w:val="1"/>
        <w:rPr>
          <w:color w:val="auto"/>
          <w:highlight w:val="none"/>
        </w:rPr>
      </w:pPr>
      <w:bookmarkStart w:id="52" w:name="_Toc28901"/>
      <w:bookmarkStart w:id="53" w:name="_Toc3445"/>
      <w:r>
        <w:rPr>
          <w:rFonts w:hint="eastAsia"/>
          <w:color w:val="auto"/>
          <w:highlight w:val="none"/>
        </w:rPr>
        <w:t>（一）项目决策情况</w:t>
      </w:r>
      <w:bookmarkEnd w:id="52"/>
      <w:bookmarkEnd w:id="53"/>
    </w:p>
    <w:p>
      <w:pPr>
        <w:bidi w:val="0"/>
        <w:rPr>
          <w:color w:val="auto"/>
          <w:highlight w:val="none"/>
        </w:rPr>
      </w:pPr>
      <w:r>
        <w:rPr>
          <w:rFonts w:hint="eastAsia"/>
          <w:color w:val="auto"/>
          <w:highlight w:val="none"/>
        </w:rPr>
        <w:t>1、实施依据充分性</w:t>
      </w:r>
    </w:p>
    <w:p>
      <w:pPr>
        <w:bidi w:val="0"/>
        <w:rPr>
          <w:color w:val="auto"/>
          <w:highlight w:val="none"/>
        </w:rPr>
      </w:pPr>
      <w:r>
        <w:rPr>
          <w:rFonts w:hint="eastAsia"/>
          <w:color w:val="auto"/>
          <w:highlight w:val="none"/>
        </w:rPr>
        <w:t>（1）本项目申报和审批符合国家法律法规、国民经济发展规划和相关政策；</w:t>
      </w:r>
    </w:p>
    <w:p>
      <w:pPr>
        <w:bidi w:val="0"/>
        <w:rPr>
          <w:color w:val="auto"/>
          <w:highlight w:val="none"/>
        </w:rPr>
      </w:pPr>
      <w:r>
        <w:rPr>
          <w:rFonts w:hint="eastAsia"/>
          <w:color w:val="auto"/>
          <w:highlight w:val="none"/>
        </w:rPr>
        <w:t>（2）本项目申报和审批符合行业发展规划和政策要求；</w:t>
      </w:r>
    </w:p>
    <w:p>
      <w:pPr>
        <w:bidi w:val="0"/>
        <w:rPr>
          <w:color w:val="auto"/>
          <w:highlight w:val="none"/>
        </w:rPr>
      </w:pPr>
      <w:r>
        <w:rPr>
          <w:rFonts w:hint="eastAsia"/>
          <w:color w:val="auto"/>
          <w:highlight w:val="none"/>
        </w:rPr>
        <w:t>（3）项目</w:t>
      </w:r>
      <w:r>
        <w:rPr>
          <w:rFonts w:hint="eastAsia"/>
          <w:color w:val="auto"/>
          <w:highlight w:val="none"/>
          <w:lang w:val="en-US" w:eastAsia="zh-CN"/>
        </w:rPr>
        <w:t>实施</w:t>
      </w:r>
      <w:r>
        <w:rPr>
          <w:rFonts w:hint="eastAsia"/>
          <w:color w:val="auto"/>
          <w:highlight w:val="none"/>
        </w:rPr>
        <w:t>与部门职责范围相符，属于部门履职所需；</w:t>
      </w:r>
    </w:p>
    <w:p>
      <w:pPr>
        <w:bidi w:val="0"/>
        <w:rPr>
          <w:color w:val="auto"/>
          <w:highlight w:val="none"/>
        </w:rPr>
      </w:pPr>
      <w:r>
        <w:rPr>
          <w:rFonts w:hint="eastAsia"/>
          <w:color w:val="auto"/>
          <w:highlight w:val="none"/>
        </w:rPr>
        <w:t>（4）本项目属于公共财政支持范围，符合中央、地方事权支出责任划分原则；</w:t>
      </w:r>
    </w:p>
    <w:p>
      <w:pPr>
        <w:bidi w:val="0"/>
        <w:rPr>
          <w:color w:val="auto"/>
          <w:highlight w:val="none"/>
        </w:rPr>
      </w:pPr>
      <w:r>
        <w:rPr>
          <w:rFonts w:hint="eastAsia"/>
          <w:color w:val="auto"/>
          <w:highlight w:val="none"/>
        </w:rPr>
        <w:t>（5）本项目与相关部门同类项目或部门内部相关项目</w:t>
      </w:r>
      <w:r>
        <w:rPr>
          <w:rFonts w:hint="eastAsia"/>
          <w:color w:val="auto"/>
          <w:highlight w:val="none"/>
          <w:lang w:val="en-US" w:eastAsia="zh-CN"/>
        </w:rPr>
        <w:t>不</w:t>
      </w:r>
      <w:r>
        <w:rPr>
          <w:rFonts w:hint="eastAsia"/>
          <w:color w:val="auto"/>
          <w:highlight w:val="none"/>
        </w:rPr>
        <w:t>重复。</w:t>
      </w:r>
    </w:p>
    <w:p>
      <w:pPr>
        <w:bidi w:val="0"/>
        <w:rPr>
          <w:color w:val="auto"/>
          <w:highlight w:val="none"/>
        </w:rPr>
      </w:pPr>
      <w:r>
        <w:rPr>
          <w:rFonts w:hint="eastAsia"/>
          <w:color w:val="auto"/>
          <w:highlight w:val="none"/>
        </w:rPr>
        <w:t>本项满分3分，评估得分3分。</w:t>
      </w:r>
    </w:p>
    <w:p>
      <w:pPr>
        <w:bidi w:val="0"/>
        <w:rPr>
          <w:color w:val="auto"/>
          <w:highlight w:val="none"/>
        </w:rPr>
      </w:pPr>
      <w:r>
        <w:rPr>
          <w:rFonts w:hint="eastAsia"/>
          <w:color w:val="auto"/>
          <w:highlight w:val="none"/>
        </w:rPr>
        <w:t>2、实施程序规范性</w:t>
      </w:r>
    </w:p>
    <w:p>
      <w:pPr>
        <w:bidi w:val="0"/>
        <w:rPr>
          <w:color w:val="auto"/>
          <w:highlight w:val="none"/>
        </w:rPr>
      </w:pPr>
      <w:r>
        <w:rPr>
          <w:rFonts w:hint="eastAsia"/>
          <w:bCs/>
          <w:color w:val="auto"/>
          <w:szCs w:val="32"/>
          <w:highlight w:val="none"/>
        </w:rPr>
        <w:t>本项目</w:t>
      </w:r>
      <w:r>
        <w:rPr>
          <w:rFonts w:hint="eastAsia"/>
          <w:color w:val="auto"/>
          <w:spacing w:val="-4"/>
          <w:szCs w:val="32"/>
          <w:highlight w:val="none"/>
          <w:lang w:val="en-US" w:eastAsia="zh-CN"/>
        </w:rPr>
        <w:t>实施</w:t>
      </w:r>
      <w:r>
        <w:rPr>
          <w:rFonts w:hint="eastAsia"/>
          <w:bCs/>
          <w:color w:val="auto"/>
          <w:szCs w:val="32"/>
          <w:highlight w:val="none"/>
        </w:rPr>
        <w:t>资料全，</w:t>
      </w:r>
      <w:r>
        <w:rPr>
          <w:rFonts w:hint="eastAsia"/>
          <w:color w:val="auto"/>
          <w:spacing w:val="-4"/>
          <w:szCs w:val="32"/>
          <w:highlight w:val="none"/>
          <w:lang w:val="en-US" w:eastAsia="zh-CN"/>
        </w:rPr>
        <w:t>实施</w:t>
      </w:r>
      <w:r>
        <w:rPr>
          <w:rFonts w:hint="eastAsia"/>
          <w:bCs/>
          <w:color w:val="auto"/>
          <w:szCs w:val="32"/>
          <w:highlight w:val="none"/>
        </w:rPr>
        <w:t>程序规范；审批文件、材料符合相关要求，事前已经过必要的集体决策，</w:t>
      </w:r>
      <w:r>
        <w:rPr>
          <w:rFonts w:hint="eastAsia"/>
          <w:color w:val="auto"/>
          <w:highlight w:val="none"/>
        </w:rPr>
        <w:t>实施程序规范。</w:t>
      </w:r>
    </w:p>
    <w:p>
      <w:pPr>
        <w:bidi w:val="0"/>
        <w:rPr>
          <w:color w:val="auto"/>
          <w:highlight w:val="none"/>
        </w:rPr>
      </w:pPr>
      <w:r>
        <w:rPr>
          <w:rFonts w:hint="eastAsia"/>
          <w:color w:val="auto"/>
          <w:highlight w:val="none"/>
        </w:rPr>
        <w:t>本项满分3分，评估得分3分。</w:t>
      </w:r>
    </w:p>
    <w:p>
      <w:pPr>
        <w:bidi w:val="0"/>
        <w:rPr>
          <w:color w:val="auto"/>
          <w:highlight w:val="none"/>
        </w:rPr>
      </w:pPr>
      <w:r>
        <w:rPr>
          <w:rFonts w:hint="eastAsia"/>
          <w:color w:val="auto"/>
          <w:highlight w:val="none"/>
        </w:rPr>
        <w:t>3、绩效目标合理性</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cs="仿宋_GB2312"/>
          <w:b w:val="0"/>
          <w:bCs w:val="0"/>
          <w:snapToGrid w:val="0"/>
          <w:color w:val="auto"/>
          <w:kern w:val="2"/>
          <w:sz w:val="32"/>
          <w:szCs w:val="32"/>
          <w:highlight w:val="none"/>
          <w:lang w:val="en-US" w:eastAsia="zh-CN" w:bidi="ar-SA"/>
        </w:rPr>
        <w:t>尉犁县2023年国家级公益林管护项目</w:t>
      </w:r>
      <w:r>
        <w:rPr>
          <w:rFonts w:hint="eastAsia" w:ascii="仿宋_GB2312" w:hAnsi="仿宋_GB2312" w:eastAsia="仿宋_GB2312" w:cs="仿宋_GB2312"/>
          <w:b w:val="0"/>
          <w:bCs w:val="0"/>
          <w:snapToGrid w:val="0"/>
          <w:color w:val="auto"/>
          <w:kern w:val="2"/>
          <w:sz w:val="32"/>
          <w:szCs w:val="32"/>
          <w:highlight w:val="none"/>
          <w:lang w:val="en-US" w:eastAsia="zh-CN" w:bidi="ar-SA"/>
        </w:rPr>
        <w:t>设立了项目绩效目标，绩效目标指标设置合理，项目绩效目标与实际工作内容相关性较强；项目预期产出效益和效果符合正常的业绩水平；绩效目标与预算确定的项目投资额相匹配。</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本项满分4分，评估得分4分。</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4、绩效指标明确性</w:t>
      </w:r>
    </w:p>
    <w:p>
      <w:pPr>
        <w:bidi w:val="0"/>
        <w:rPr>
          <w:color w:val="auto"/>
          <w:highlight w:val="none"/>
        </w:rPr>
      </w:pPr>
      <w:r>
        <w:rPr>
          <w:rFonts w:hint="eastAsia" w:ascii="仿宋_GB2312" w:hAnsi="仿宋_GB2312" w:cs="仿宋_GB2312"/>
          <w:b w:val="0"/>
          <w:bCs w:val="0"/>
          <w:snapToGrid w:val="0"/>
          <w:color w:val="auto"/>
          <w:kern w:val="2"/>
          <w:sz w:val="32"/>
          <w:szCs w:val="32"/>
          <w:highlight w:val="none"/>
          <w:lang w:val="en-US" w:eastAsia="zh-CN" w:bidi="ar-SA"/>
        </w:rPr>
        <w:t>尉犁县2023年国家级公益林管护项目</w:t>
      </w:r>
      <w:r>
        <w:rPr>
          <w:rFonts w:hint="eastAsia" w:ascii="仿宋_GB2312" w:hAnsi="仿宋_GB2312" w:eastAsia="仿宋_GB2312" w:cs="仿宋_GB2312"/>
          <w:b w:val="0"/>
          <w:bCs w:val="0"/>
          <w:snapToGrid w:val="0"/>
          <w:color w:val="auto"/>
          <w:kern w:val="2"/>
          <w:sz w:val="32"/>
          <w:szCs w:val="32"/>
          <w:highlight w:val="none"/>
          <w:lang w:val="en-US" w:eastAsia="zh-CN" w:bidi="ar-SA"/>
        </w:rPr>
        <w:t>，设置一级指标</w:t>
      </w:r>
      <w:r>
        <w:rPr>
          <w:rFonts w:hint="eastAsia" w:ascii="仿宋_GB2312" w:hAnsi="仿宋_GB2312" w:cs="仿宋_GB2312"/>
          <w:b w:val="0"/>
          <w:bCs w:val="0"/>
          <w:snapToGrid w:val="0"/>
          <w:color w:val="auto"/>
          <w:kern w:val="2"/>
          <w:sz w:val="32"/>
          <w:szCs w:val="32"/>
          <w:highlight w:val="none"/>
          <w:lang w:val="en-US" w:eastAsia="zh-CN" w:bidi="ar-SA"/>
        </w:rPr>
        <w:t>4</w:t>
      </w:r>
      <w:r>
        <w:rPr>
          <w:rFonts w:hint="eastAsia" w:ascii="仿宋_GB2312" w:hAnsi="仿宋_GB2312" w:eastAsia="仿宋_GB2312" w:cs="仿宋_GB2312"/>
          <w:b w:val="0"/>
          <w:bCs w:val="0"/>
          <w:snapToGrid w:val="0"/>
          <w:color w:val="auto"/>
          <w:kern w:val="2"/>
          <w:sz w:val="32"/>
          <w:szCs w:val="32"/>
          <w:highlight w:val="none"/>
          <w:lang w:val="en-US" w:eastAsia="zh-CN" w:bidi="ar-SA"/>
        </w:rPr>
        <w:t>条，二级指标</w:t>
      </w:r>
      <w:r>
        <w:rPr>
          <w:rFonts w:hint="eastAsia" w:ascii="仿宋_GB2312" w:hAnsi="仿宋_GB2312" w:cs="仿宋_GB2312"/>
          <w:b w:val="0"/>
          <w:bCs w:val="0"/>
          <w:snapToGrid w:val="0"/>
          <w:color w:val="auto"/>
          <w:kern w:val="2"/>
          <w:sz w:val="32"/>
          <w:szCs w:val="32"/>
          <w:highlight w:val="none"/>
          <w:lang w:val="en-US" w:eastAsia="zh-CN" w:bidi="ar-SA"/>
        </w:rPr>
        <w:t>7</w:t>
      </w:r>
      <w:r>
        <w:rPr>
          <w:rFonts w:hint="eastAsia" w:ascii="仿宋_GB2312" w:hAnsi="仿宋_GB2312" w:eastAsia="仿宋_GB2312" w:cs="仿宋_GB2312"/>
          <w:b w:val="0"/>
          <w:bCs w:val="0"/>
          <w:snapToGrid w:val="0"/>
          <w:color w:val="auto"/>
          <w:kern w:val="2"/>
          <w:sz w:val="32"/>
          <w:szCs w:val="32"/>
          <w:highlight w:val="none"/>
          <w:lang w:val="en-US" w:eastAsia="zh-CN" w:bidi="ar-SA"/>
        </w:rPr>
        <w:t>条，三级指标</w:t>
      </w:r>
      <w:r>
        <w:rPr>
          <w:rFonts w:hint="eastAsia" w:ascii="仿宋_GB2312" w:hAnsi="仿宋_GB2312" w:cs="仿宋_GB2312"/>
          <w:b w:val="0"/>
          <w:bCs w:val="0"/>
          <w:snapToGrid w:val="0"/>
          <w:color w:val="auto"/>
          <w:kern w:val="2"/>
          <w:sz w:val="32"/>
          <w:szCs w:val="32"/>
          <w:highlight w:val="none"/>
          <w:lang w:val="en-US" w:eastAsia="zh-CN" w:bidi="ar-SA"/>
        </w:rPr>
        <w:t>10</w:t>
      </w:r>
      <w:r>
        <w:rPr>
          <w:rFonts w:hint="eastAsia" w:ascii="仿宋_GB2312" w:hAnsi="仿宋_GB2312" w:eastAsia="仿宋_GB2312" w:cs="仿宋_GB2312"/>
          <w:b w:val="0"/>
          <w:bCs w:val="0"/>
          <w:snapToGrid w:val="0"/>
          <w:color w:val="auto"/>
          <w:kern w:val="2"/>
          <w:sz w:val="32"/>
          <w:szCs w:val="32"/>
          <w:highlight w:val="none"/>
          <w:lang w:val="en-US" w:eastAsia="zh-CN" w:bidi="ar-SA"/>
        </w:rPr>
        <w:t>条，其中量化指标</w:t>
      </w:r>
      <w:r>
        <w:rPr>
          <w:rFonts w:hint="eastAsia" w:ascii="仿宋_GB2312" w:hAnsi="仿宋_GB2312" w:cs="仿宋_GB2312"/>
          <w:b w:val="0"/>
          <w:bCs w:val="0"/>
          <w:snapToGrid w:val="0"/>
          <w:color w:val="auto"/>
          <w:kern w:val="2"/>
          <w:sz w:val="32"/>
          <w:szCs w:val="32"/>
          <w:highlight w:val="none"/>
          <w:lang w:val="en-US" w:eastAsia="zh-CN" w:bidi="ar-SA"/>
        </w:rPr>
        <w:t>7</w:t>
      </w:r>
      <w:r>
        <w:rPr>
          <w:rFonts w:hint="eastAsia" w:ascii="仿宋_GB2312" w:hAnsi="仿宋_GB2312" w:eastAsia="仿宋_GB2312" w:cs="仿宋_GB2312"/>
          <w:b w:val="0"/>
          <w:bCs w:val="0"/>
          <w:snapToGrid w:val="0"/>
          <w:color w:val="auto"/>
          <w:kern w:val="2"/>
          <w:sz w:val="32"/>
          <w:szCs w:val="32"/>
          <w:highlight w:val="none"/>
          <w:lang w:val="en-US" w:eastAsia="zh-CN" w:bidi="ar-SA"/>
        </w:rPr>
        <w:t>条，绩效目标指标设定清晰、可衡量性较强，与</w:t>
      </w:r>
      <w:r>
        <w:rPr>
          <w:rFonts w:hint="eastAsia"/>
          <w:color w:val="auto"/>
          <w:highlight w:val="none"/>
        </w:rPr>
        <w:t>项目目标任务计划数对应性较强。</w:t>
      </w:r>
    </w:p>
    <w:p>
      <w:pPr>
        <w:bidi w:val="0"/>
        <w:rPr>
          <w:color w:val="auto"/>
          <w:highlight w:val="none"/>
        </w:rPr>
      </w:pPr>
      <w:r>
        <w:rPr>
          <w:rFonts w:hint="eastAsia"/>
          <w:color w:val="auto"/>
          <w:highlight w:val="none"/>
        </w:rPr>
        <w:t>本项满分4分，评估得分4分。</w:t>
      </w:r>
    </w:p>
    <w:p>
      <w:pPr>
        <w:bidi w:val="0"/>
        <w:rPr>
          <w:color w:val="auto"/>
          <w:highlight w:val="none"/>
        </w:rPr>
      </w:pPr>
      <w:r>
        <w:rPr>
          <w:rFonts w:hint="eastAsia"/>
          <w:color w:val="auto"/>
          <w:highlight w:val="none"/>
        </w:rPr>
        <w:t>5、预算编制科学性</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本项目预算资金</w:t>
      </w:r>
      <w:r>
        <w:rPr>
          <w:rFonts w:hint="eastAsia" w:ascii="仿宋_GB2312" w:hAnsi="仿宋_GB2312" w:cs="仿宋_GB2312"/>
          <w:b w:val="0"/>
          <w:bCs w:val="0"/>
          <w:snapToGrid w:val="0"/>
          <w:color w:val="auto"/>
          <w:kern w:val="2"/>
          <w:sz w:val="32"/>
          <w:szCs w:val="32"/>
          <w:highlight w:val="none"/>
          <w:lang w:val="en-US" w:eastAsia="zh-CN" w:bidi="ar-SA"/>
        </w:rPr>
        <w:t>997</w:t>
      </w:r>
      <w:r>
        <w:rPr>
          <w:rFonts w:hint="eastAsia" w:ascii="仿宋_GB2312" w:hAnsi="仿宋_GB2312" w:eastAsia="仿宋_GB2312" w:cs="仿宋_GB2312"/>
          <w:b w:val="0"/>
          <w:bCs w:val="0"/>
          <w:snapToGrid w:val="0"/>
          <w:color w:val="auto"/>
          <w:kern w:val="2"/>
          <w:sz w:val="32"/>
          <w:szCs w:val="32"/>
          <w:highlight w:val="none"/>
          <w:lang w:val="en-US" w:eastAsia="zh-CN" w:bidi="ar-SA"/>
        </w:rPr>
        <w:t>万元，来源为2023年中央财政林业草原生态保护恢复资金</w:t>
      </w:r>
      <w:r>
        <w:rPr>
          <w:rFonts w:hint="eastAsia" w:ascii="仿宋_GB2312" w:hAnsi="仿宋_GB2312" w:cs="仿宋_GB2312"/>
          <w:b w:val="0"/>
          <w:bCs w:val="0"/>
          <w:snapToGrid w:val="0"/>
          <w:color w:val="auto"/>
          <w:kern w:val="2"/>
          <w:sz w:val="32"/>
          <w:szCs w:val="32"/>
          <w:highlight w:val="none"/>
          <w:lang w:val="en-US" w:eastAsia="zh-CN" w:bidi="ar-SA"/>
        </w:rPr>
        <w:t>，</w:t>
      </w:r>
      <w:r>
        <w:rPr>
          <w:rFonts w:hint="eastAsia" w:ascii="仿宋_GB2312" w:hAnsi="仿宋_GB2312" w:eastAsia="仿宋_GB2312" w:cs="仿宋_GB2312"/>
          <w:b w:val="0"/>
          <w:bCs w:val="0"/>
          <w:snapToGrid w:val="0"/>
          <w:color w:val="auto"/>
          <w:kern w:val="2"/>
          <w:sz w:val="32"/>
          <w:szCs w:val="32"/>
          <w:highlight w:val="none"/>
          <w:lang w:val="en-US" w:eastAsia="zh-CN" w:bidi="ar-SA"/>
        </w:rPr>
        <w:t>预算编制较为科学，预算内容与尉犁县实际情况内容相匹配，预算额度测算依据充分，预算确定的资金量与工作量相匹配。</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本项满分4分，评估得分4分。</w:t>
      </w:r>
    </w:p>
    <w:p>
      <w:pPr>
        <w:bidi w:val="0"/>
        <w:rPr>
          <w:color w:val="auto"/>
          <w:highlight w:val="none"/>
        </w:rPr>
      </w:pPr>
      <w:r>
        <w:rPr>
          <w:rFonts w:hint="eastAsia"/>
          <w:color w:val="auto"/>
          <w:highlight w:val="none"/>
        </w:rPr>
        <w:t>6、资金分配合理性</w:t>
      </w:r>
    </w:p>
    <w:p>
      <w:pPr>
        <w:bidi w:val="0"/>
        <w:rPr>
          <w:color w:val="auto"/>
          <w:highlight w:val="none"/>
        </w:rPr>
      </w:pPr>
      <w:r>
        <w:rPr>
          <w:rFonts w:hint="eastAsia"/>
          <w:color w:val="auto"/>
          <w:highlight w:val="none"/>
        </w:rPr>
        <w:t>本项目预算资金分配依据充分；资金分配额度合理，与项目单位实际相适应。</w:t>
      </w:r>
    </w:p>
    <w:p>
      <w:pPr>
        <w:bidi w:val="0"/>
        <w:rPr>
          <w:color w:val="auto"/>
          <w:highlight w:val="none"/>
        </w:rPr>
      </w:pPr>
      <w:r>
        <w:rPr>
          <w:rFonts w:hint="eastAsia"/>
          <w:color w:val="auto"/>
          <w:highlight w:val="none"/>
        </w:rPr>
        <w:t>本项满分4分，评估得分4分。</w:t>
      </w:r>
    </w:p>
    <w:p>
      <w:pPr>
        <w:pStyle w:val="2"/>
        <w:bidi w:val="0"/>
        <w:outlineLvl w:val="1"/>
        <w:rPr>
          <w:color w:val="auto"/>
          <w:highlight w:val="none"/>
        </w:rPr>
      </w:pPr>
      <w:bookmarkStart w:id="54" w:name="_Toc11290"/>
      <w:bookmarkStart w:id="55" w:name="_Toc31791"/>
      <w:r>
        <w:rPr>
          <w:rFonts w:hint="eastAsia"/>
          <w:color w:val="auto"/>
          <w:highlight w:val="none"/>
        </w:rPr>
        <w:t>（二）项目过程情况</w:t>
      </w:r>
      <w:bookmarkEnd w:id="54"/>
      <w:bookmarkEnd w:id="55"/>
    </w:p>
    <w:p>
      <w:pPr>
        <w:bidi w:val="0"/>
        <w:rPr>
          <w:color w:val="auto"/>
          <w:highlight w:val="none"/>
        </w:rPr>
      </w:pPr>
      <w:r>
        <w:rPr>
          <w:rFonts w:hint="eastAsia"/>
          <w:color w:val="auto"/>
          <w:highlight w:val="none"/>
        </w:rPr>
        <w:t>1、资金到位率</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本项目预算资金</w:t>
      </w:r>
      <w:r>
        <w:rPr>
          <w:rFonts w:hint="eastAsia" w:ascii="仿宋_GB2312" w:hAnsi="仿宋_GB2312" w:cs="仿宋_GB2312"/>
          <w:b w:val="0"/>
          <w:bCs w:val="0"/>
          <w:snapToGrid w:val="0"/>
          <w:color w:val="auto"/>
          <w:kern w:val="2"/>
          <w:sz w:val="32"/>
          <w:szCs w:val="32"/>
          <w:highlight w:val="none"/>
          <w:lang w:val="en-US" w:eastAsia="zh-CN" w:bidi="ar-SA"/>
        </w:rPr>
        <w:t>997</w:t>
      </w:r>
      <w:r>
        <w:rPr>
          <w:rFonts w:hint="eastAsia" w:ascii="仿宋_GB2312" w:hAnsi="仿宋_GB2312" w:eastAsia="仿宋_GB2312" w:cs="仿宋_GB2312"/>
          <w:b w:val="0"/>
          <w:bCs w:val="0"/>
          <w:snapToGrid w:val="0"/>
          <w:color w:val="auto"/>
          <w:kern w:val="2"/>
          <w:sz w:val="32"/>
          <w:szCs w:val="32"/>
          <w:highlight w:val="none"/>
          <w:lang w:val="en-US" w:eastAsia="zh-CN" w:bidi="ar-SA"/>
        </w:rPr>
        <w:t>万元，实际到位资金</w:t>
      </w:r>
      <w:r>
        <w:rPr>
          <w:rFonts w:hint="eastAsia" w:ascii="仿宋_GB2312" w:hAnsi="仿宋_GB2312" w:cs="仿宋_GB2312"/>
          <w:b w:val="0"/>
          <w:bCs w:val="0"/>
          <w:snapToGrid w:val="0"/>
          <w:color w:val="auto"/>
          <w:kern w:val="2"/>
          <w:sz w:val="32"/>
          <w:szCs w:val="32"/>
          <w:highlight w:val="none"/>
          <w:lang w:val="en-US" w:eastAsia="zh-CN" w:bidi="ar-SA"/>
        </w:rPr>
        <w:t>997</w:t>
      </w:r>
      <w:r>
        <w:rPr>
          <w:rFonts w:hint="eastAsia" w:ascii="仿宋_GB2312" w:hAnsi="仿宋_GB2312" w:eastAsia="仿宋_GB2312" w:cs="仿宋_GB2312"/>
          <w:b w:val="0"/>
          <w:bCs w:val="0"/>
          <w:snapToGrid w:val="0"/>
          <w:color w:val="auto"/>
          <w:kern w:val="2"/>
          <w:sz w:val="32"/>
          <w:szCs w:val="32"/>
          <w:highlight w:val="none"/>
          <w:lang w:val="en-US" w:eastAsia="zh-CN" w:bidi="ar-SA"/>
        </w:rPr>
        <w:t>万元，资金到位率100%。</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本项满分4分，评估得分4分。</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2、预算执行率</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本项目到位资金</w:t>
      </w:r>
      <w:r>
        <w:rPr>
          <w:rFonts w:hint="eastAsia" w:ascii="仿宋_GB2312" w:hAnsi="仿宋_GB2312" w:cs="仿宋_GB2312"/>
          <w:b w:val="0"/>
          <w:bCs w:val="0"/>
          <w:snapToGrid w:val="0"/>
          <w:color w:val="auto"/>
          <w:kern w:val="2"/>
          <w:sz w:val="32"/>
          <w:szCs w:val="32"/>
          <w:highlight w:val="none"/>
          <w:lang w:val="en-US" w:eastAsia="zh-CN" w:bidi="ar-SA"/>
        </w:rPr>
        <w:t>997</w:t>
      </w:r>
      <w:r>
        <w:rPr>
          <w:rFonts w:hint="eastAsia" w:ascii="仿宋_GB2312" w:hAnsi="仿宋_GB2312" w:eastAsia="仿宋_GB2312" w:cs="仿宋_GB2312"/>
          <w:b w:val="0"/>
          <w:bCs w:val="0"/>
          <w:snapToGrid w:val="0"/>
          <w:color w:val="auto"/>
          <w:kern w:val="2"/>
          <w:sz w:val="32"/>
          <w:szCs w:val="32"/>
          <w:highlight w:val="none"/>
          <w:lang w:val="en-US" w:eastAsia="zh-CN" w:bidi="ar-SA"/>
        </w:rPr>
        <w:t>万元，实际支付资金</w:t>
      </w:r>
      <w:r>
        <w:rPr>
          <w:rFonts w:hint="eastAsia" w:ascii="仿宋_GB2312" w:hAnsi="仿宋_GB2312" w:cs="仿宋_GB2312"/>
          <w:b w:val="0"/>
          <w:bCs w:val="0"/>
          <w:snapToGrid w:val="0"/>
          <w:color w:val="auto"/>
          <w:kern w:val="2"/>
          <w:sz w:val="32"/>
          <w:szCs w:val="32"/>
          <w:highlight w:val="none"/>
          <w:lang w:val="en-US" w:eastAsia="zh-CN" w:bidi="ar-SA"/>
        </w:rPr>
        <w:t>885.8</w:t>
      </w:r>
      <w:r>
        <w:rPr>
          <w:rFonts w:hint="eastAsia" w:ascii="仿宋_GB2312" w:hAnsi="仿宋_GB2312" w:eastAsia="仿宋_GB2312" w:cs="仿宋_GB2312"/>
          <w:b w:val="0"/>
          <w:bCs w:val="0"/>
          <w:snapToGrid w:val="0"/>
          <w:color w:val="auto"/>
          <w:kern w:val="2"/>
          <w:sz w:val="32"/>
          <w:szCs w:val="32"/>
          <w:highlight w:val="none"/>
          <w:lang w:val="en-US" w:eastAsia="zh-CN" w:bidi="ar-SA"/>
        </w:rPr>
        <w:t>万元，预算执行率为8</w:t>
      </w:r>
      <w:r>
        <w:rPr>
          <w:rFonts w:hint="eastAsia" w:ascii="仿宋_GB2312" w:hAnsi="仿宋_GB2312" w:cs="仿宋_GB2312"/>
          <w:b w:val="0"/>
          <w:bCs w:val="0"/>
          <w:snapToGrid w:val="0"/>
          <w:color w:val="auto"/>
          <w:kern w:val="2"/>
          <w:sz w:val="32"/>
          <w:szCs w:val="32"/>
          <w:highlight w:val="none"/>
          <w:lang w:val="en-US" w:eastAsia="zh-CN" w:bidi="ar-SA"/>
        </w:rPr>
        <w:t>8.85</w:t>
      </w:r>
      <w:r>
        <w:rPr>
          <w:rFonts w:hint="eastAsia" w:ascii="仿宋_GB2312" w:hAnsi="仿宋_GB2312" w:eastAsia="仿宋_GB2312" w:cs="仿宋_GB2312"/>
          <w:b w:val="0"/>
          <w:bCs w:val="0"/>
          <w:snapToGrid w:val="0"/>
          <w:color w:val="auto"/>
          <w:kern w:val="2"/>
          <w:sz w:val="32"/>
          <w:szCs w:val="32"/>
          <w:highlight w:val="none"/>
          <w:lang w:val="en-US" w:eastAsia="zh-CN" w:bidi="ar-SA"/>
        </w:rPr>
        <w:t>%。</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本项满分4分，评估得分</w:t>
      </w:r>
      <w:r>
        <w:rPr>
          <w:rFonts w:hint="eastAsia" w:ascii="仿宋_GB2312" w:hAnsi="仿宋_GB2312" w:cs="仿宋_GB2312"/>
          <w:b w:val="0"/>
          <w:bCs w:val="0"/>
          <w:snapToGrid w:val="0"/>
          <w:color w:val="auto"/>
          <w:kern w:val="2"/>
          <w:sz w:val="32"/>
          <w:szCs w:val="32"/>
          <w:highlight w:val="none"/>
          <w:lang w:val="en-US" w:eastAsia="zh-CN" w:bidi="ar-SA"/>
        </w:rPr>
        <w:t>3.55</w:t>
      </w:r>
      <w:r>
        <w:rPr>
          <w:rFonts w:hint="eastAsia" w:ascii="仿宋_GB2312" w:hAnsi="仿宋_GB2312" w:eastAsia="仿宋_GB2312" w:cs="仿宋_GB2312"/>
          <w:b w:val="0"/>
          <w:bCs w:val="0"/>
          <w:snapToGrid w:val="0"/>
          <w:color w:val="auto"/>
          <w:kern w:val="2"/>
          <w:sz w:val="32"/>
          <w:szCs w:val="32"/>
          <w:highlight w:val="none"/>
          <w:lang w:val="en-US" w:eastAsia="zh-CN" w:bidi="ar-SA"/>
        </w:rPr>
        <w:t>分。</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3、资金使用合规性</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目资金的使用符合《中华人民共和国预算法》、《中华人民共和国会计法》等国家有关财经法规以及预算管理制度；《关于提前下达2023年中央林业草原生态保护恢复资金预算的通知（巴财建〔2022〕132号）》要求。资金的审批和拨付按照《尉犁县财政资金审批管理办法》执行，有完整的审批程序和手续；资金使用符合专项资金支持的范围。不存在截留、挤占、挪用、虚列支出等情况。</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本项满分4分，评估得分4分。</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4、管理制度健全性</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建立由尉犁县林业和草原局组成的项目领导小组，负责项目组织协调。实行项目主持人负责制，负责项目总体目标任务的完成，并将各项工作任务分解落实到</w:t>
      </w:r>
      <w:r>
        <w:rPr>
          <w:rFonts w:hint="eastAsia" w:ascii="仿宋_GB2312" w:hAnsi="仿宋_GB2312" w:cs="仿宋_GB2312"/>
          <w:b w:val="0"/>
          <w:bCs w:val="0"/>
          <w:snapToGrid w:val="0"/>
          <w:color w:val="auto"/>
          <w:kern w:val="2"/>
          <w:sz w:val="32"/>
          <w:szCs w:val="32"/>
          <w:highlight w:val="none"/>
          <w:lang w:val="en-US" w:eastAsia="zh-CN" w:bidi="ar-SA"/>
        </w:rPr>
        <w:t>各</w:t>
      </w:r>
      <w:r>
        <w:rPr>
          <w:rFonts w:hint="eastAsia" w:ascii="仿宋_GB2312" w:hAnsi="仿宋_GB2312" w:eastAsia="仿宋_GB2312" w:cs="仿宋_GB2312"/>
          <w:b w:val="0"/>
          <w:bCs w:val="0"/>
          <w:snapToGrid w:val="0"/>
          <w:color w:val="auto"/>
          <w:kern w:val="2"/>
          <w:sz w:val="32"/>
          <w:szCs w:val="32"/>
          <w:highlight w:val="none"/>
          <w:lang w:val="en-US" w:eastAsia="zh-CN" w:bidi="ar-SA"/>
        </w:rPr>
        <w:t>项目小组负责人及各示范点负责人。按目标管理责任制的要求，实行项目管理的激励机制，根据工作完成情况，确定奖罚措施，确保项目实现各项防治指标，按时通过验收。</w:t>
      </w:r>
      <w:r>
        <w:rPr>
          <w:rFonts w:hint="eastAsia" w:ascii="Times New Roman" w:hAnsi="Times New Roman"/>
          <w:color w:val="auto"/>
          <w:highlight w:val="none"/>
          <w:lang w:val="en-US" w:eastAsia="zh-CN"/>
        </w:rPr>
        <w:t>同时，项目的实施严格遵守《中华人民共和国预算法》、《中华人民共和国会计法》等法律法规、财经制度的要求。</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本项满分3分，评估得分3分。</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5、制度执行有效性</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目在实施过程中严格遵守相关法律法规和相关管理规定，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本项满分3分，评估得分3分。</w:t>
      </w:r>
      <w:bookmarkStart w:id="56" w:name="_Toc32013"/>
    </w:p>
    <w:p>
      <w:pPr>
        <w:pStyle w:val="2"/>
        <w:bidi w:val="0"/>
        <w:outlineLvl w:val="1"/>
        <w:rPr>
          <w:color w:val="auto"/>
          <w:highlight w:val="none"/>
        </w:rPr>
      </w:pPr>
      <w:bookmarkStart w:id="57" w:name="_Toc30431"/>
      <w:r>
        <w:rPr>
          <w:rFonts w:hint="eastAsia"/>
          <w:color w:val="auto"/>
          <w:highlight w:val="none"/>
        </w:rPr>
        <w:t>（三）项目产出情况</w:t>
      </w:r>
      <w:bookmarkEnd w:id="56"/>
      <w:bookmarkEnd w:id="57"/>
    </w:p>
    <w:p>
      <w:pPr>
        <w:bidi w:val="0"/>
        <w:rPr>
          <w:color w:val="auto"/>
          <w:highlight w:val="none"/>
        </w:rPr>
      </w:pPr>
      <w:r>
        <w:rPr>
          <w:rFonts w:hint="eastAsia"/>
          <w:color w:val="auto"/>
          <w:highlight w:val="none"/>
        </w:rPr>
        <w:t>1、产出数量</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指标1：国家级公益林管护面积，指标值245.69万亩，实际完成值245.69万亩，指标完成率100%；</w:t>
      </w:r>
    </w:p>
    <w:p>
      <w:pPr>
        <w:bidi w:val="0"/>
        <w:rPr>
          <w:rFonts w:hint="eastAsia" w:ascii="仿宋_GB2312" w:hAnsi="仿宋_GB2312" w:cs="仿宋_GB2312"/>
          <w:b w:val="0"/>
          <w:bCs w:val="0"/>
          <w:snapToGrid w:val="0"/>
          <w:color w:val="auto"/>
          <w:kern w:val="2"/>
          <w:sz w:val="32"/>
          <w:szCs w:val="32"/>
          <w:highlight w:val="none"/>
          <w:lang w:val="en-US" w:eastAsia="zh-CN" w:bidi="ar-SA"/>
        </w:rPr>
      </w:pPr>
      <w:r>
        <w:rPr>
          <w:rFonts w:hint="eastAsia" w:ascii="仿宋_GB2312" w:hAnsi="仿宋_GB2312" w:cs="仿宋_GB2312"/>
          <w:b w:val="0"/>
          <w:bCs w:val="0"/>
          <w:snapToGrid w:val="0"/>
          <w:color w:val="auto"/>
          <w:kern w:val="2"/>
          <w:sz w:val="32"/>
          <w:szCs w:val="32"/>
          <w:highlight w:val="none"/>
          <w:lang w:val="en-US" w:eastAsia="zh-CN" w:bidi="ar-SA"/>
        </w:rPr>
        <w:t>指标2：管护人员培训次数，指标值 大于或等于2次，实际完成值2次，指标完成率100%；</w:t>
      </w:r>
    </w:p>
    <w:p>
      <w:pPr>
        <w:bidi w:val="0"/>
        <w:rPr>
          <w:rFonts w:hint="eastAsia" w:ascii="仿宋_GB2312" w:hAnsi="仿宋_GB2312" w:cs="仿宋_GB2312"/>
          <w:b w:val="0"/>
          <w:bCs w:val="0"/>
          <w:snapToGrid w:val="0"/>
          <w:color w:val="auto"/>
          <w:kern w:val="2"/>
          <w:sz w:val="32"/>
          <w:szCs w:val="32"/>
          <w:highlight w:val="none"/>
          <w:lang w:val="en-US" w:eastAsia="zh-CN" w:bidi="ar-SA"/>
        </w:rPr>
      </w:pPr>
      <w:r>
        <w:rPr>
          <w:rFonts w:hint="eastAsia" w:ascii="仿宋_GB2312" w:hAnsi="仿宋_GB2312" w:cs="仿宋_GB2312"/>
          <w:b w:val="0"/>
          <w:bCs w:val="0"/>
          <w:snapToGrid w:val="0"/>
          <w:color w:val="auto"/>
          <w:kern w:val="2"/>
          <w:sz w:val="32"/>
          <w:szCs w:val="32"/>
          <w:highlight w:val="none"/>
          <w:lang w:val="en-US" w:eastAsia="zh-CN" w:bidi="ar-SA"/>
        </w:rPr>
        <w:t>指标3：国有林保护管理相关政策集中宣传次数，指标值大于或等于2次，实际完成值2次，指标完成率100%；</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本项满分1</w:t>
      </w:r>
      <w:r>
        <w:rPr>
          <w:rFonts w:hint="eastAsia" w:ascii="仿宋_GB2312" w:hAnsi="仿宋_GB2312" w:cs="仿宋_GB2312"/>
          <w:b w:val="0"/>
          <w:bCs w:val="0"/>
          <w:snapToGrid w:val="0"/>
          <w:color w:val="auto"/>
          <w:kern w:val="2"/>
          <w:sz w:val="32"/>
          <w:szCs w:val="32"/>
          <w:highlight w:val="none"/>
          <w:lang w:val="en-US" w:eastAsia="zh-CN" w:bidi="ar-SA"/>
        </w:rPr>
        <w:t>2</w:t>
      </w:r>
      <w:r>
        <w:rPr>
          <w:rFonts w:hint="eastAsia" w:ascii="仿宋_GB2312" w:hAnsi="仿宋_GB2312" w:eastAsia="仿宋_GB2312" w:cs="仿宋_GB2312"/>
          <w:b w:val="0"/>
          <w:bCs w:val="0"/>
          <w:snapToGrid w:val="0"/>
          <w:color w:val="auto"/>
          <w:kern w:val="2"/>
          <w:sz w:val="32"/>
          <w:szCs w:val="32"/>
          <w:highlight w:val="none"/>
          <w:lang w:val="en-US" w:eastAsia="zh-CN" w:bidi="ar-SA"/>
        </w:rPr>
        <w:t>分，评估得分</w:t>
      </w:r>
      <w:r>
        <w:rPr>
          <w:rFonts w:hint="eastAsia" w:ascii="仿宋_GB2312" w:hAnsi="仿宋_GB2312" w:cs="仿宋_GB2312"/>
          <w:b w:val="0"/>
          <w:bCs w:val="0"/>
          <w:snapToGrid w:val="0"/>
          <w:color w:val="auto"/>
          <w:kern w:val="2"/>
          <w:sz w:val="32"/>
          <w:szCs w:val="32"/>
          <w:highlight w:val="none"/>
          <w:lang w:val="en-US" w:eastAsia="zh-CN" w:bidi="ar-SA"/>
        </w:rPr>
        <w:t>12</w:t>
      </w:r>
      <w:r>
        <w:rPr>
          <w:rFonts w:hint="eastAsia" w:ascii="仿宋_GB2312" w:hAnsi="仿宋_GB2312" w:eastAsia="仿宋_GB2312" w:cs="仿宋_GB2312"/>
          <w:b w:val="0"/>
          <w:bCs w:val="0"/>
          <w:snapToGrid w:val="0"/>
          <w:color w:val="auto"/>
          <w:kern w:val="2"/>
          <w:sz w:val="32"/>
          <w:szCs w:val="32"/>
          <w:highlight w:val="none"/>
          <w:lang w:val="en-US" w:eastAsia="zh-CN" w:bidi="ar-SA"/>
        </w:rPr>
        <w:t>分。</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2、产出质量</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指标1：国有林管护实施方案批复完成率，指标值</w:t>
      </w:r>
      <w:r>
        <w:rPr>
          <w:rFonts w:hint="eastAsia" w:ascii="仿宋_GB2312" w:hAnsi="仿宋_GB2312" w:cs="仿宋_GB2312"/>
          <w:b w:val="0"/>
          <w:bCs w:val="0"/>
          <w:snapToGrid w:val="0"/>
          <w:color w:val="auto"/>
          <w:kern w:val="2"/>
          <w:sz w:val="32"/>
          <w:szCs w:val="32"/>
          <w:highlight w:val="none"/>
          <w:lang w:val="en-US" w:eastAsia="zh-CN" w:bidi="ar-SA"/>
        </w:rPr>
        <w:t>100</w:t>
      </w:r>
      <w:r>
        <w:rPr>
          <w:rFonts w:hint="eastAsia" w:ascii="仿宋_GB2312" w:hAnsi="仿宋_GB2312" w:eastAsia="仿宋_GB2312" w:cs="仿宋_GB2312"/>
          <w:b w:val="0"/>
          <w:bCs w:val="0"/>
          <w:snapToGrid w:val="0"/>
          <w:color w:val="auto"/>
          <w:kern w:val="2"/>
          <w:sz w:val="32"/>
          <w:szCs w:val="32"/>
          <w:highlight w:val="none"/>
          <w:lang w:val="en-US" w:eastAsia="zh-CN" w:bidi="ar-SA"/>
        </w:rPr>
        <w:t>%，指标完成值</w:t>
      </w:r>
      <w:r>
        <w:rPr>
          <w:rFonts w:hint="eastAsia" w:ascii="仿宋_GB2312" w:hAnsi="仿宋_GB2312" w:cs="仿宋_GB2312"/>
          <w:b w:val="0"/>
          <w:bCs w:val="0"/>
          <w:snapToGrid w:val="0"/>
          <w:color w:val="auto"/>
          <w:kern w:val="2"/>
          <w:sz w:val="32"/>
          <w:szCs w:val="32"/>
          <w:highlight w:val="none"/>
          <w:lang w:val="en-US" w:eastAsia="zh-CN" w:bidi="ar-SA"/>
        </w:rPr>
        <w:t>100</w:t>
      </w:r>
      <w:r>
        <w:rPr>
          <w:rFonts w:hint="eastAsia" w:ascii="仿宋_GB2312" w:hAnsi="仿宋_GB2312" w:eastAsia="仿宋_GB2312" w:cs="仿宋_GB2312"/>
          <w:b w:val="0"/>
          <w:bCs w:val="0"/>
          <w:snapToGrid w:val="0"/>
          <w:color w:val="auto"/>
          <w:kern w:val="2"/>
          <w:sz w:val="32"/>
          <w:szCs w:val="32"/>
          <w:highlight w:val="none"/>
          <w:lang w:val="en-US" w:eastAsia="zh-CN" w:bidi="ar-SA"/>
        </w:rPr>
        <w:t>%，指标完成率100%；</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cs="仿宋_GB2312"/>
          <w:b w:val="0"/>
          <w:bCs w:val="0"/>
          <w:snapToGrid w:val="0"/>
          <w:color w:val="auto"/>
          <w:kern w:val="2"/>
          <w:sz w:val="32"/>
          <w:szCs w:val="32"/>
          <w:highlight w:val="none"/>
          <w:lang w:val="en-US" w:eastAsia="zh-CN" w:bidi="ar-SA"/>
        </w:rPr>
        <w:t>指标2：国有林管护质量县级复查率，</w:t>
      </w:r>
      <w:r>
        <w:rPr>
          <w:rFonts w:hint="eastAsia" w:ascii="仿宋_GB2312" w:hAnsi="仿宋_GB2312" w:eastAsia="仿宋_GB2312" w:cs="仿宋_GB2312"/>
          <w:b w:val="0"/>
          <w:bCs w:val="0"/>
          <w:snapToGrid w:val="0"/>
          <w:color w:val="auto"/>
          <w:kern w:val="2"/>
          <w:sz w:val="32"/>
          <w:szCs w:val="32"/>
          <w:highlight w:val="none"/>
          <w:lang w:val="en-US" w:eastAsia="zh-CN" w:bidi="ar-SA"/>
        </w:rPr>
        <w:t>指标值</w:t>
      </w:r>
      <w:r>
        <w:rPr>
          <w:rFonts w:hint="eastAsia" w:ascii="仿宋_GB2312" w:hAnsi="仿宋_GB2312" w:cs="仿宋_GB2312"/>
          <w:b w:val="0"/>
          <w:bCs w:val="0"/>
          <w:snapToGrid w:val="0"/>
          <w:color w:val="auto"/>
          <w:kern w:val="2"/>
          <w:sz w:val="32"/>
          <w:szCs w:val="32"/>
          <w:highlight w:val="none"/>
          <w:lang w:val="en-US" w:eastAsia="zh-CN" w:bidi="ar-SA"/>
        </w:rPr>
        <w:t>100</w:t>
      </w:r>
      <w:r>
        <w:rPr>
          <w:rFonts w:hint="eastAsia" w:ascii="仿宋_GB2312" w:hAnsi="仿宋_GB2312" w:eastAsia="仿宋_GB2312" w:cs="仿宋_GB2312"/>
          <w:b w:val="0"/>
          <w:bCs w:val="0"/>
          <w:snapToGrid w:val="0"/>
          <w:color w:val="auto"/>
          <w:kern w:val="2"/>
          <w:sz w:val="32"/>
          <w:szCs w:val="32"/>
          <w:highlight w:val="none"/>
          <w:lang w:val="en-US" w:eastAsia="zh-CN" w:bidi="ar-SA"/>
        </w:rPr>
        <w:t>%，指标完成值</w:t>
      </w:r>
      <w:r>
        <w:rPr>
          <w:rFonts w:hint="eastAsia" w:ascii="仿宋_GB2312" w:hAnsi="仿宋_GB2312" w:cs="仿宋_GB2312"/>
          <w:b w:val="0"/>
          <w:bCs w:val="0"/>
          <w:snapToGrid w:val="0"/>
          <w:color w:val="auto"/>
          <w:kern w:val="2"/>
          <w:sz w:val="32"/>
          <w:szCs w:val="32"/>
          <w:highlight w:val="none"/>
          <w:lang w:val="en-US" w:eastAsia="zh-CN" w:bidi="ar-SA"/>
        </w:rPr>
        <w:t>100</w:t>
      </w:r>
      <w:r>
        <w:rPr>
          <w:rFonts w:hint="eastAsia" w:ascii="仿宋_GB2312" w:hAnsi="仿宋_GB2312" w:eastAsia="仿宋_GB2312" w:cs="仿宋_GB2312"/>
          <w:b w:val="0"/>
          <w:bCs w:val="0"/>
          <w:snapToGrid w:val="0"/>
          <w:color w:val="auto"/>
          <w:kern w:val="2"/>
          <w:sz w:val="32"/>
          <w:szCs w:val="32"/>
          <w:highlight w:val="none"/>
          <w:lang w:val="en-US" w:eastAsia="zh-CN" w:bidi="ar-SA"/>
        </w:rPr>
        <w:t>%，指标完成率100%；</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本项满分1</w:t>
      </w:r>
      <w:r>
        <w:rPr>
          <w:rFonts w:hint="eastAsia" w:ascii="仿宋_GB2312" w:hAnsi="仿宋_GB2312" w:cs="仿宋_GB2312"/>
          <w:b w:val="0"/>
          <w:bCs w:val="0"/>
          <w:snapToGrid w:val="0"/>
          <w:color w:val="auto"/>
          <w:kern w:val="2"/>
          <w:sz w:val="32"/>
          <w:szCs w:val="32"/>
          <w:highlight w:val="none"/>
          <w:lang w:val="en-US" w:eastAsia="zh-CN" w:bidi="ar-SA"/>
        </w:rPr>
        <w:t>2</w:t>
      </w:r>
      <w:r>
        <w:rPr>
          <w:rFonts w:hint="eastAsia" w:ascii="仿宋_GB2312" w:hAnsi="仿宋_GB2312" w:eastAsia="仿宋_GB2312" w:cs="仿宋_GB2312"/>
          <w:b w:val="0"/>
          <w:bCs w:val="0"/>
          <w:snapToGrid w:val="0"/>
          <w:color w:val="auto"/>
          <w:kern w:val="2"/>
          <w:sz w:val="32"/>
          <w:szCs w:val="32"/>
          <w:highlight w:val="none"/>
          <w:lang w:val="en-US" w:eastAsia="zh-CN" w:bidi="ar-SA"/>
        </w:rPr>
        <w:t>分，评估得分1</w:t>
      </w:r>
      <w:r>
        <w:rPr>
          <w:rFonts w:hint="eastAsia" w:ascii="仿宋_GB2312" w:hAnsi="仿宋_GB2312" w:cs="仿宋_GB2312"/>
          <w:b w:val="0"/>
          <w:bCs w:val="0"/>
          <w:snapToGrid w:val="0"/>
          <w:color w:val="auto"/>
          <w:kern w:val="2"/>
          <w:sz w:val="32"/>
          <w:szCs w:val="32"/>
          <w:highlight w:val="none"/>
          <w:lang w:val="en-US" w:eastAsia="zh-CN" w:bidi="ar-SA"/>
        </w:rPr>
        <w:t>2</w:t>
      </w:r>
      <w:r>
        <w:rPr>
          <w:rFonts w:hint="eastAsia" w:ascii="仿宋_GB2312" w:hAnsi="仿宋_GB2312" w:eastAsia="仿宋_GB2312" w:cs="仿宋_GB2312"/>
          <w:b w:val="0"/>
          <w:bCs w:val="0"/>
          <w:snapToGrid w:val="0"/>
          <w:color w:val="auto"/>
          <w:kern w:val="2"/>
          <w:sz w:val="32"/>
          <w:szCs w:val="32"/>
          <w:highlight w:val="none"/>
          <w:lang w:val="en-US" w:eastAsia="zh-CN" w:bidi="ar-SA"/>
        </w:rPr>
        <w:t>分。</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cs="仿宋_GB2312"/>
          <w:b w:val="0"/>
          <w:bCs w:val="0"/>
          <w:snapToGrid w:val="0"/>
          <w:color w:val="auto"/>
          <w:kern w:val="2"/>
          <w:sz w:val="32"/>
          <w:szCs w:val="32"/>
          <w:highlight w:val="none"/>
          <w:lang w:val="en-US" w:eastAsia="zh-CN" w:bidi="ar-SA"/>
        </w:rPr>
        <w:t>3</w:t>
      </w:r>
      <w:r>
        <w:rPr>
          <w:rFonts w:hint="eastAsia" w:ascii="仿宋_GB2312" w:hAnsi="仿宋_GB2312" w:eastAsia="仿宋_GB2312" w:cs="仿宋_GB2312"/>
          <w:b w:val="0"/>
          <w:bCs w:val="0"/>
          <w:snapToGrid w:val="0"/>
          <w:color w:val="auto"/>
          <w:kern w:val="2"/>
          <w:sz w:val="32"/>
          <w:szCs w:val="32"/>
          <w:highlight w:val="none"/>
          <w:lang w:val="en-US" w:eastAsia="zh-CN" w:bidi="ar-SA"/>
        </w:rPr>
        <w:t>、产出时效</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指标</w:t>
      </w:r>
      <w:r>
        <w:rPr>
          <w:rFonts w:hint="eastAsia" w:ascii="仿宋_GB2312" w:hAnsi="仿宋_GB2312" w:cs="仿宋_GB2312"/>
          <w:b w:val="0"/>
          <w:bCs w:val="0"/>
          <w:snapToGrid w:val="0"/>
          <w:color w:val="auto"/>
          <w:kern w:val="2"/>
          <w:sz w:val="32"/>
          <w:szCs w:val="32"/>
          <w:highlight w:val="none"/>
          <w:lang w:val="en-US" w:eastAsia="zh-CN" w:bidi="ar-SA"/>
        </w:rPr>
        <w:t>1</w:t>
      </w:r>
      <w:r>
        <w:rPr>
          <w:rFonts w:hint="eastAsia" w:ascii="仿宋_GB2312" w:hAnsi="仿宋_GB2312" w:eastAsia="仿宋_GB2312" w:cs="仿宋_GB2312"/>
          <w:b w:val="0"/>
          <w:bCs w:val="0"/>
          <w:snapToGrid w:val="0"/>
          <w:color w:val="auto"/>
          <w:kern w:val="2"/>
          <w:sz w:val="32"/>
          <w:szCs w:val="32"/>
          <w:highlight w:val="none"/>
          <w:lang w:val="en-US" w:eastAsia="zh-CN" w:bidi="ar-SA"/>
        </w:rPr>
        <w:t>：国有林管护人员劳务报酬按时发放率，指标值≥90%，指标完成值90%，指标完成率100%。</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本项满分</w:t>
      </w:r>
      <w:r>
        <w:rPr>
          <w:rFonts w:hint="eastAsia" w:ascii="仿宋_GB2312" w:hAnsi="仿宋_GB2312" w:cs="仿宋_GB2312"/>
          <w:b w:val="0"/>
          <w:bCs w:val="0"/>
          <w:snapToGrid w:val="0"/>
          <w:color w:val="auto"/>
          <w:kern w:val="2"/>
          <w:sz w:val="32"/>
          <w:szCs w:val="32"/>
          <w:highlight w:val="none"/>
          <w:lang w:val="en-US" w:eastAsia="zh-CN" w:bidi="ar-SA"/>
        </w:rPr>
        <w:t>8</w:t>
      </w:r>
      <w:r>
        <w:rPr>
          <w:rFonts w:hint="eastAsia" w:ascii="仿宋_GB2312" w:hAnsi="仿宋_GB2312" w:eastAsia="仿宋_GB2312" w:cs="仿宋_GB2312"/>
          <w:b w:val="0"/>
          <w:bCs w:val="0"/>
          <w:snapToGrid w:val="0"/>
          <w:color w:val="auto"/>
          <w:kern w:val="2"/>
          <w:sz w:val="32"/>
          <w:szCs w:val="32"/>
          <w:highlight w:val="none"/>
          <w:lang w:val="en-US" w:eastAsia="zh-CN" w:bidi="ar-SA"/>
        </w:rPr>
        <w:t>分，评估得分</w:t>
      </w:r>
      <w:r>
        <w:rPr>
          <w:rFonts w:hint="eastAsia" w:ascii="仿宋_GB2312" w:hAnsi="仿宋_GB2312" w:cs="仿宋_GB2312"/>
          <w:b w:val="0"/>
          <w:bCs w:val="0"/>
          <w:snapToGrid w:val="0"/>
          <w:color w:val="auto"/>
          <w:kern w:val="2"/>
          <w:sz w:val="32"/>
          <w:szCs w:val="32"/>
          <w:highlight w:val="none"/>
          <w:lang w:val="en-US" w:eastAsia="zh-CN" w:bidi="ar-SA"/>
        </w:rPr>
        <w:t>8</w:t>
      </w:r>
      <w:r>
        <w:rPr>
          <w:rFonts w:hint="eastAsia" w:ascii="仿宋_GB2312" w:hAnsi="仿宋_GB2312" w:eastAsia="仿宋_GB2312" w:cs="仿宋_GB2312"/>
          <w:b w:val="0"/>
          <w:bCs w:val="0"/>
          <w:snapToGrid w:val="0"/>
          <w:color w:val="auto"/>
          <w:kern w:val="2"/>
          <w:sz w:val="32"/>
          <w:szCs w:val="32"/>
          <w:highlight w:val="none"/>
          <w:lang w:val="en-US" w:eastAsia="zh-CN" w:bidi="ar-SA"/>
        </w:rPr>
        <w:t>分</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bookmarkStart w:id="58" w:name="_Toc28354"/>
      <w:bookmarkStart w:id="59" w:name="_Toc14171"/>
      <w:r>
        <w:rPr>
          <w:rFonts w:hint="eastAsia" w:ascii="仿宋_GB2312" w:hAnsi="仿宋_GB2312" w:cs="仿宋_GB2312"/>
          <w:b w:val="0"/>
          <w:bCs w:val="0"/>
          <w:snapToGrid w:val="0"/>
          <w:color w:val="auto"/>
          <w:kern w:val="2"/>
          <w:sz w:val="32"/>
          <w:szCs w:val="32"/>
          <w:highlight w:val="none"/>
          <w:lang w:val="en-US" w:eastAsia="zh-CN" w:bidi="ar-SA"/>
        </w:rPr>
        <w:t>4</w:t>
      </w:r>
      <w:r>
        <w:rPr>
          <w:rFonts w:hint="eastAsia" w:ascii="仿宋_GB2312" w:hAnsi="仿宋_GB2312" w:eastAsia="仿宋_GB2312" w:cs="仿宋_GB2312"/>
          <w:b w:val="0"/>
          <w:bCs w:val="0"/>
          <w:snapToGrid w:val="0"/>
          <w:color w:val="auto"/>
          <w:kern w:val="2"/>
          <w:sz w:val="32"/>
          <w:szCs w:val="32"/>
          <w:highlight w:val="none"/>
          <w:lang w:val="en-US" w:eastAsia="zh-CN" w:bidi="ar-SA"/>
        </w:rPr>
        <w:t>、产出成本</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指标</w:t>
      </w:r>
      <w:r>
        <w:rPr>
          <w:rFonts w:hint="eastAsia" w:ascii="仿宋_GB2312" w:hAnsi="仿宋_GB2312" w:cs="仿宋_GB2312"/>
          <w:b w:val="0"/>
          <w:bCs w:val="0"/>
          <w:snapToGrid w:val="0"/>
          <w:color w:val="auto"/>
          <w:kern w:val="2"/>
          <w:sz w:val="32"/>
          <w:szCs w:val="32"/>
          <w:highlight w:val="none"/>
          <w:lang w:val="en-US" w:eastAsia="zh-CN" w:bidi="ar-SA"/>
        </w:rPr>
        <w:t>1</w:t>
      </w:r>
      <w:r>
        <w:rPr>
          <w:rFonts w:hint="eastAsia" w:ascii="仿宋_GB2312" w:hAnsi="仿宋_GB2312" w:eastAsia="仿宋_GB2312" w:cs="仿宋_GB2312"/>
          <w:b w:val="0"/>
          <w:bCs w:val="0"/>
          <w:snapToGrid w:val="0"/>
          <w:color w:val="auto"/>
          <w:kern w:val="2"/>
          <w:sz w:val="32"/>
          <w:szCs w:val="32"/>
          <w:highlight w:val="none"/>
          <w:lang w:val="en-US" w:eastAsia="zh-CN" w:bidi="ar-SA"/>
        </w:rPr>
        <w:t>：国有林林地管护及其他支撑保障补助资金，指标值&lt;=4.06元/亩，指标完成值</w:t>
      </w:r>
      <w:r>
        <w:rPr>
          <w:rFonts w:hint="eastAsia" w:ascii="仿宋_GB2312" w:hAnsi="仿宋_GB2312" w:cs="仿宋_GB2312"/>
          <w:b w:val="0"/>
          <w:bCs w:val="0"/>
          <w:snapToGrid w:val="0"/>
          <w:color w:val="auto"/>
          <w:kern w:val="2"/>
          <w:sz w:val="32"/>
          <w:szCs w:val="32"/>
          <w:highlight w:val="none"/>
          <w:lang w:val="en-US" w:eastAsia="zh-CN" w:bidi="ar-SA"/>
        </w:rPr>
        <w:t>4.06</w:t>
      </w:r>
      <w:r>
        <w:rPr>
          <w:rFonts w:hint="eastAsia" w:ascii="仿宋_GB2312" w:hAnsi="仿宋_GB2312" w:eastAsia="仿宋_GB2312" w:cs="仿宋_GB2312"/>
          <w:b w:val="0"/>
          <w:bCs w:val="0"/>
          <w:snapToGrid w:val="0"/>
          <w:color w:val="auto"/>
          <w:kern w:val="2"/>
          <w:sz w:val="32"/>
          <w:szCs w:val="32"/>
          <w:highlight w:val="none"/>
          <w:lang w:val="en-US" w:eastAsia="zh-CN" w:bidi="ar-SA"/>
        </w:rPr>
        <w:t>元/亩，指标完成率</w:t>
      </w:r>
      <w:r>
        <w:rPr>
          <w:rFonts w:hint="eastAsia" w:ascii="仿宋_GB2312" w:hAnsi="仿宋_GB2312" w:cs="仿宋_GB2312"/>
          <w:b w:val="0"/>
          <w:bCs w:val="0"/>
          <w:snapToGrid w:val="0"/>
          <w:color w:val="auto"/>
          <w:kern w:val="2"/>
          <w:sz w:val="32"/>
          <w:szCs w:val="32"/>
          <w:highlight w:val="none"/>
          <w:lang w:val="en-US" w:eastAsia="zh-CN" w:bidi="ar-SA"/>
        </w:rPr>
        <w:t>89</w:t>
      </w:r>
      <w:r>
        <w:rPr>
          <w:rFonts w:hint="eastAsia" w:ascii="仿宋_GB2312" w:hAnsi="仿宋_GB2312" w:eastAsia="仿宋_GB2312" w:cs="仿宋_GB2312"/>
          <w:b w:val="0"/>
          <w:bCs w:val="0"/>
          <w:snapToGrid w:val="0"/>
          <w:color w:val="auto"/>
          <w:kern w:val="2"/>
          <w:sz w:val="32"/>
          <w:szCs w:val="32"/>
          <w:highlight w:val="none"/>
          <w:lang w:val="en-US" w:eastAsia="zh-CN" w:bidi="ar-SA"/>
        </w:rPr>
        <w:t>%。</w:t>
      </w:r>
    </w:p>
    <w:p>
      <w:pPr>
        <w:pStyle w:val="2"/>
        <w:bidi w:val="0"/>
        <w:outlineLvl w:val="1"/>
        <w:rPr>
          <w:rFonts w:hint="eastAsia"/>
          <w:color w:val="auto"/>
          <w:highlight w:val="none"/>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本项满分8分，评估得分7.12分。</w:t>
      </w:r>
    </w:p>
    <w:p>
      <w:pPr>
        <w:pStyle w:val="2"/>
        <w:bidi w:val="0"/>
        <w:outlineLvl w:val="1"/>
        <w:rPr>
          <w:color w:val="auto"/>
          <w:highlight w:val="none"/>
        </w:rPr>
      </w:pPr>
      <w:r>
        <w:rPr>
          <w:rFonts w:hint="eastAsia"/>
          <w:color w:val="auto"/>
          <w:highlight w:val="none"/>
        </w:rPr>
        <w:t>（四）项目效益情况</w:t>
      </w:r>
      <w:bookmarkEnd w:id="58"/>
      <w:bookmarkEnd w:id="59"/>
    </w:p>
    <w:p>
      <w:pPr>
        <w:bidi w:val="0"/>
        <w:rPr>
          <w:color w:val="auto"/>
          <w:highlight w:val="none"/>
        </w:rPr>
      </w:pPr>
      <w:r>
        <w:rPr>
          <w:rFonts w:hint="eastAsia"/>
          <w:color w:val="auto"/>
          <w:highlight w:val="none"/>
        </w:rPr>
        <w:t>1、实</w:t>
      </w:r>
      <w:r>
        <w:rPr>
          <w:rFonts w:hint="eastAsia"/>
          <w:color w:val="auto"/>
          <w:highlight w:val="none"/>
          <w:lang w:val="en-US" w:eastAsia="zh-CN"/>
        </w:rPr>
        <w:t>施</w:t>
      </w:r>
      <w:r>
        <w:rPr>
          <w:rFonts w:hint="eastAsia"/>
          <w:color w:val="auto"/>
          <w:highlight w:val="none"/>
        </w:rPr>
        <w:t>效益</w:t>
      </w:r>
    </w:p>
    <w:p>
      <w:pPr>
        <w:bidi w:val="0"/>
        <w:rPr>
          <w:rFonts w:hint="eastAsia" w:ascii="仿宋_GB2312" w:hAnsi="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本项目实施所产生的效益主要包括社会效益</w:t>
      </w:r>
      <w:r>
        <w:rPr>
          <w:rFonts w:hint="eastAsia" w:ascii="仿宋_GB2312" w:hAnsi="仿宋_GB2312" w:cs="仿宋_GB2312"/>
          <w:b w:val="0"/>
          <w:bCs w:val="0"/>
          <w:snapToGrid w:val="0"/>
          <w:color w:val="auto"/>
          <w:kern w:val="2"/>
          <w:sz w:val="32"/>
          <w:szCs w:val="32"/>
          <w:highlight w:val="none"/>
          <w:lang w:val="en-US" w:eastAsia="zh-CN" w:bidi="ar-SA"/>
        </w:rPr>
        <w:t>。</w:t>
      </w:r>
    </w:p>
    <w:p>
      <w:pPr>
        <w:bidi w:val="0"/>
        <w:rPr>
          <w:rFonts w:hint="eastAsia" w:ascii="仿宋_GB2312" w:hAnsi="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项目的实施</w:t>
      </w:r>
      <w:r>
        <w:rPr>
          <w:rFonts w:hint="eastAsia" w:ascii="仿宋_GB2312" w:hAnsi="仿宋_GB2312" w:cs="仿宋_GB2312"/>
          <w:b w:val="0"/>
          <w:bCs w:val="0"/>
          <w:snapToGrid w:val="0"/>
          <w:color w:val="auto"/>
          <w:kern w:val="2"/>
          <w:sz w:val="32"/>
          <w:szCs w:val="32"/>
          <w:highlight w:val="none"/>
          <w:lang w:val="en-US" w:eastAsia="zh-CN" w:bidi="ar-SA"/>
        </w:rPr>
        <w:t>改善了环境，带动了当地就业。</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本项满分10分，评估得分10分。</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2、满意度</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本项目服务对象和受益群众主要是</w:t>
      </w:r>
      <w:r>
        <w:rPr>
          <w:rFonts w:hint="eastAsia" w:ascii="仿宋_GB2312" w:hAnsi="仿宋_GB2312" w:cs="仿宋_GB2312"/>
          <w:b w:val="0"/>
          <w:bCs w:val="0"/>
          <w:snapToGrid w:val="0"/>
          <w:color w:val="auto"/>
          <w:kern w:val="2"/>
          <w:sz w:val="32"/>
          <w:szCs w:val="32"/>
          <w:highlight w:val="none"/>
          <w:lang w:val="en-US" w:eastAsia="zh-CN" w:bidi="ar-SA"/>
        </w:rPr>
        <w:t>管护</w:t>
      </w:r>
      <w:r>
        <w:rPr>
          <w:rFonts w:hint="eastAsia" w:ascii="仿宋_GB2312" w:hAnsi="仿宋_GB2312" w:eastAsia="仿宋_GB2312" w:cs="仿宋_GB2312"/>
          <w:b w:val="0"/>
          <w:bCs w:val="0"/>
          <w:snapToGrid w:val="0"/>
          <w:color w:val="auto"/>
          <w:kern w:val="2"/>
          <w:sz w:val="32"/>
          <w:szCs w:val="32"/>
          <w:highlight w:val="none"/>
          <w:lang w:val="en-US" w:eastAsia="zh-CN" w:bidi="ar-SA"/>
        </w:rPr>
        <w:t>人员</w:t>
      </w:r>
      <w:r>
        <w:rPr>
          <w:rFonts w:hint="eastAsia" w:ascii="仿宋_GB2312" w:hAnsi="仿宋_GB2312" w:cs="仿宋_GB2312"/>
          <w:b w:val="0"/>
          <w:bCs w:val="0"/>
          <w:snapToGrid w:val="0"/>
          <w:color w:val="auto"/>
          <w:kern w:val="2"/>
          <w:sz w:val="32"/>
          <w:szCs w:val="32"/>
          <w:highlight w:val="none"/>
          <w:lang w:val="en-US" w:eastAsia="zh-CN" w:bidi="ar-SA"/>
        </w:rPr>
        <w:t>,</w:t>
      </w:r>
      <w:r>
        <w:rPr>
          <w:rFonts w:hint="eastAsia" w:ascii="仿宋_GB2312" w:hAnsi="仿宋_GB2312" w:eastAsia="仿宋_GB2312" w:cs="仿宋_GB2312"/>
          <w:b w:val="0"/>
          <w:bCs w:val="0"/>
          <w:snapToGrid w:val="0"/>
          <w:color w:val="auto"/>
          <w:kern w:val="2"/>
          <w:sz w:val="32"/>
          <w:szCs w:val="32"/>
          <w:highlight w:val="none"/>
          <w:lang w:val="en-US" w:eastAsia="zh-CN" w:bidi="ar-SA"/>
        </w:rPr>
        <w:t>通过问卷调查方式收集群众对本项目实施的满意度。服务满意度</w:t>
      </w:r>
      <w:r>
        <w:rPr>
          <w:rFonts w:hint="eastAsia" w:ascii="仿宋_GB2312" w:hAnsi="仿宋_GB2312" w:cs="仿宋_GB2312"/>
          <w:b w:val="0"/>
          <w:bCs w:val="0"/>
          <w:snapToGrid w:val="0"/>
          <w:color w:val="auto"/>
          <w:kern w:val="2"/>
          <w:sz w:val="32"/>
          <w:szCs w:val="32"/>
          <w:highlight w:val="none"/>
          <w:lang w:val="en-US" w:eastAsia="zh-CN" w:bidi="ar-SA"/>
        </w:rPr>
        <w:t>90</w:t>
      </w:r>
      <w:r>
        <w:rPr>
          <w:rFonts w:hint="eastAsia" w:ascii="仿宋_GB2312" w:hAnsi="仿宋_GB2312" w:eastAsia="仿宋_GB2312" w:cs="仿宋_GB2312"/>
          <w:b w:val="0"/>
          <w:bCs w:val="0"/>
          <w:snapToGrid w:val="0"/>
          <w:color w:val="auto"/>
          <w:kern w:val="2"/>
          <w:sz w:val="32"/>
          <w:szCs w:val="32"/>
          <w:highlight w:val="none"/>
          <w:lang w:val="en-US" w:eastAsia="zh-CN" w:bidi="ar-SA"/>
        </w:rPr>
        <w:t>%。</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本项满分10分，评估得分10分。</w:t>
      </w:r>
    </w:p>
    <w:p>
      <w:pPr>
        <w:pStyle w:val="4"/>
        <w:bidi w:val="0"/>
        <w:outlineLvl w:val="0"/>
        <w:rPr>
          <w:rFonts w:hint="eastAsia"/>
          <w:color w:val="auto"/>
          <w:highlight w:val="none"/>
          <w:lang w:val="en-US" w:eastAsia="zh-CN"/>
        </w:rPr>
      </w:pPr>
      <w:bookmarkStart w:id="60" w:name="_Toc4529"/>
      <w:bookmarkStart w:id="61" w:name="_Toc27244"/>
      <w:r>
        <w:rPr>
          <w:rFonts w:hint="eastAsia"/>
          <w:color w:val="auto"/>
          <w:highlight w:val="none"/>
          <w:lang w:val="en-US" w:eastAsia="zh-CN"/>
        </w:rPr>
        <w:t>五、主要经验及做法、存在的问题及原因分析</w:t>
      </w:r>
      <w:bookmarkEnd w:id="60"/>
      <w:bookmarkEnd w:id="61"/>
    </w:p>
    <w:p>
      <w:pPr>
        <w:pStyle w:val="2"/>
        <w:bidi w:val="0"/>
        <w:outlineLvl w:val="1"/>
        <w:rPr>
          <w:rFonts w:hint="eastAsia"/>
          <w:color w:val="auto"/>
          <w:highlight w:val="none"/>
          <w:lang w:val="en-US" w:eastAsia="zh-CN"/>
        </w:rPr>
      </w:pPr>
      <w:bookmarkStart w:id="62" w:name="_Toc26369"/>
      <w:bookmarkStart w:id="63" w:name="_Toc18880"/>
      <w:r>
        <w:rPr>
          <w:rFonts w:hint="eastAsia"/>
          <w:color w:val="auto"/>
          <w:highlight w:val="none"/>
          <w:lang w:val="en-US" w:eastAsia="zh-CN"/>
        </w:rPr>
        <w:t>（一）主要经验及做法</w:t>
      </w:r>
      <w:bookmarkEnd w:id="62"/>
      <w:bookmarkEnd w:id="63"/>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cs="仿宋_GB2312"/>
          <w:b w:val="0"/>
          <w:bCs w:val="0"/>
          <w:snapToGrid w:val="0"/>
          <w:color w:val="auto"/>
          <w:kern w:val="2"/>
          <w:sz w:val="32"/>
          <w:szCs w:val="32"/>
          <w:highlight w:val="none"/>
          <w:lang w:val="en-US" w:eastAsia="zh-CN" w:bidi="ar-SA"/>
        </w:rPr>
        <w:t>尉犁县2023年国家级公益林管护项目在</w:t>
      </w:r>
      <w:r>
        <w:rPr>
          <w:rFonts w:hint="eastAsia" w:ascii="仿宋_GB2312" w:hAnsi="仿宋_GB2312" w:eastAsia="仿宋_GB2312" w:cs="仿宋_GB2312"/>
          <w:b w:val="0"/>
          <w:bCs w:val="0"/>
          <w:snapToGrid w:val="0"/>
          <w:color w:val="auto"/>
          <w:kern w:val="2"/>
          <w:sz w:val="32"/>
          <w:szCs w:val="32"/>
          <w:highlight w:val="none"/>
          <w:lang w:val="en-US" w:eastAsia="zh-CN" w:bidi="ar-SA"/>
        </w:rPr>
        <w:t>县委、县政府的支持下，在相关部门的配合下，全面顺利完成，绩效评价“优”，主要经验及做法如下：</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1、加强领导，落实责任。为规范、有效推进工作开展，成立县林业和草原局项目资金有效管理领导小组，由局长任组长，各部门领导为成员的项目领导小组，明确了各部门工作职责，从制定工作方案、工作推进、资金管理</w:t>
      </w:r>
      <w:r>
        <w:rPr>
          <w:rFonts w:hint="eastAsia" w:ascii="仿宋_GB2312" w:hAnsi="仿宋_GB2312" w:cs="仿宋_GB2312"/>
          <w:b w:val="0"/>
          <w:bCs w:val="0"/>
          <w:snapToGrid w:val="0"/>
          <w:color w:val="auto"/>
          <w:kern w:val="2"/>
          <w:sz w:val="32"/>
          <w:szCs w:val="32"/>
          <w:highlight w:val="none"/>
          <w:lang w:val="en-US" w:eastAsia="zh-CN" w:bidi="ar-SA"/>
        </w:rPr>
        <w:t>等</w:t>
      </w:r>
      <w:bookmarkStart w:id="77" w:name="_GoBack"/>
      <w:bookmarkEnd w:id="77"/>
      <w:r>
        <w:rPr>
          <w:rFonts w:hint="eastAsia" w:ascii="仿宋_GB2312" w:hAnsi="仿宋_GB2312" w:eastAsia="仿宋_GB2312" w:cs="仿宋_GB2312"/>
          <w:b w:val="0"/>
          <w:bCs w:val="0"/>
          <w:snapToGrid w:val="0"/>
          <w:color w:val="auto"/>
          <w:kern w:val="2"/>
          <w:sz w:val="32"/>
          <w:szCs w:val="32"/>
          <w:highlight w:val="none"/>
          <w:lang w:val="en-US" w:eastAsia="zh-CN" w:bidi="ar-SA"/>
        </w:rPr>
        <w:t>各方面加强统筹协调，共同推进</w:t>
      </w:r>
      <w:r>
        <w:rPr>
          <w:rFonts w:hint="eastAsia" w:ascii="仿宋_GB2312" w:hAnsi="仿宋_GB2312" w:cs="仿宋_GB2312"/>
          <w:b w:val="0"/>
          <w:bCs w:val="0"/>
          <w:snapToGrid w:val="0"/>
          <w:color w:val="auto"/>
          <w:kern w:val="2"/>
          <w:sz w:val="32"/>
          <w:szCs w:val="32"/>
          <w:highlight w:val="none"/>
          <w:lang w:val="en-US" w:eastAsia="zh-CN" w:bidi="ar-SA"/>
        </w:rPr>
        <w:t>尉犁县2023年国家级公益林管护项目</w:t>
      </w:r>
      <w:r>
        <w:rPr>
          <w:rFonts w:hint="eastAsia" w:ascii="仿宋_GB2312" w:hAnsi="仿宋_GB2312" w:eastAsia="仿宋_GB2312" w:cs="仿宋_GB2312"/>
          <w:b w:val="0"/>
          <w:bCs w:val="0"/>
          <w:snapToGrid w:val="0"/>
          <w:color w:val="auto"/>
          <w:kern w:val="2"/>
          <w:sz w:val="32"/>
          <w:szCs w:val="32"/>
          <w:highlight w:val="none"/>
          <w:lang w:val="en-US" w:eastAsia="zh-CN" w:bidi="ar-SA"/>
        </w:rPr>
        <w:t>顺利实施。</w:t>
      </w:r>
    </w:p>
    <w:p>
      <w:pPr>
        <w:bidi w:val="0"/>
        <w:rPr>
          <w:rFonts w:hint="default"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2、严格程序，确保资金效益。严格资金审批流程，明确资金使用范围，保证项目资金专款专用，有效杜绝了截留、挪用、滞留、浪费资金等现象的发生，确保了资金使用安全和最大效益的发挥。</w:t>
      </w:r>
    </w:p>
    <w:p>
      <w:pPr>
        <w:pStyle w:val="2"/>
        <w:bidi w:val="0"/>
        <w:outlineLvl w:val="1"/>
        <w:rPr>
          <w:rFonts w:hint="eastAsia"/>
          <w:color w:val="auto"/>
          <w:highlight w:val="none"/>
          <w:lang w:val="en-US" w:eastAsia="zh-CN"/>
        </w:rPr>
      </w:pPr>
      <w:bookmarkStart w:id="64" w:name="_Toc9914"/>
      <w:bookmarkStart w:id="65" w:name="_Toc21258"/>
      <w:r>
        <w:rPr>
          <w:rFonts w:hint="eastAsia"/>
          <w:color w:val="auto"/>
          <w:highlight w:val="none"/>
          <w:lang w:val="en-US" w:eastAsia="zh-CN"/>
        </w:rPr>
        <w:t>（二）存在问题及原因分析</w:t>
      </w:r>
      <w:bookmarkEnd w:id="64"/>
      <w:bookmarkEnd w:id="65"/>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1、绩效管理体系需要逐渐健全。首先，需要进一步完善单位内部预算绩效管理制度，为单位预算绩效管理工作提供强有力的制度保障；其次，需要进一步建立健全本单位绩效评价指标体系，对个性化指标进行不断优化调整。</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2、具体项目实施的科室对项目绩效管理认识不足。</w:t>
      </w:r>
      <w:r>
        <w:rPr>
          <w:rFonts w:hint="eastAsia" w:ascii="仿宋_GB2312" w:hAnsi="仿宋_GB2312" w:cs="仿宋_GB2312"/>
          <w:b w:val="0"/>
          <w:bCs w:val="0"/>
          <w:snapToGrid w:val="0"/>
          <w:color w:val="auto"/>
          <w:kern w:val="2"/>
          <w:sz w:val="32"/>
          <w:szCs w:val="32"/>
          <w:highlight w:val="none"/>
          <w:lang w:val="en-US" w:eastAsia="zh-CN" w:bidi="ar-SA"/>
        </w:rPr>
        <w:t>部分</w:t>
      </w:r>
      <w:r>
        <w:rPr>
          <w:rFonts w:hint="eastAsia" w:ascii="仿宋_GB2312" w:hAnsi="仿宋_GB2312" w:eastAsia="仿宋_GB2312" w:cs="仿宋_GB2312"/>
          <w:b w:val="0"/>
          <w:bCs w:val="0"/>
          <w:snapToGrid w:val="0"/>
          <w:color w:val="auto"/>
          <w:kern w:val="2"/>
          <w:sz w:val="32"/>
          <w:szCs w:val="32"/>
          <w:highlight w:val="none"/>
          <w:lang w:val="en-US" w:eastAsia="zh-CN" w:bidi="ar-SA"/>
        </w:rPr>
        <w:t>实施项目的科室对项目绩效的参与度不高、认识不到位。</w:t>
      </w:r>
    </w:p>
    <w:p>
      <w:pPr>
        <w:pStyle w:val="4"/>
        <w:bidi w:val="0"/>
        <w:outlineLvl w:val="0"/>
        <w:rPr>
          <w:rFonts w:hint="eastAsia"/>
          <w:color w:val="auto"/>
          <w:highlight w:val="none"/>
          <w:lang w:val="en-US" w:eastAsia="zh-CN"/>
        </w:rPr>
      </w:pPr>
      <w:bookmarkStart w:id="66" w:name="_Toc2334"/>
      <w:bookmarkStart w:id="67" w:name="_Toc16429"/>
      <w:r>
        <w:rPr>
          <w:rFonts w:hint="eastAsia"/>
          <w:color w:val="auto"/>
          <w:highlight w:val="none"/>
          <w:lang w:val="en-US" w:eastAsia="zh-CN"/>
        </w:rPr>
        <w:t>六、有关建议</w:t>
      </w:r>
      <w:bookmarkEnd w:id="66"/>
      <w:bookmarkEnd w:id="67"/>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1、县林草局将进一步完善内部预算绩效管理机制、体制建设，加强对干部职工预算绩效管理知识的培训，树立干部职工预算绩效管理意识，针对预算绩效管理过程中存在的问题改进预算绩效管理工作，保证预算资金安全、高效使用。</w:t>
      </w:r>
    </w:p>
    <w:p>
      <w:pPr>
        <w:bidi w:val="0"/>
        <w:rPr>
          <w:rFonts w:hint="eastAsia" w:ascii="仿宋_GB2312" w:hAnsi="仿宋_GB2312" w:eastAsia="仿宋_GB2312" w:cs="仿宋_GB2312"/>
          <w:b w:val="0"/>
          <w:bCs w:val="0"/>
          <w:snapToGrid w:val="0"/>
          <w:color w:val="auto"/>
          <w:kern w:val="2"/>
          <w:sz w:val="32"/>
          <w:szCs w:val="32"/>
          <w:highlight w:val="none"/>
          <w:lang w:val="en-US" w:eastAsia="zh-CN" w:bidi="ar-SA"/>
        </w:rPr>
      </w:pPr>
      <w:r>
        <w:rPr>
          <w:rFonts w:hint="eastAsia" w:ascii="仿宋_GB2312" w:hAnsi="仿宋_GB2312" w:eastAsia="仿宋_GB2312" w:cs="仿宋_GB2312"/>
          <w:b w:val="0"/>
          <w:bCs w:val="0"/>
          <w:snapToGrid w:val="0"/>
          <w:color w:val="auto"/>
          <w:kern w:val="2"/>
          <w:sz w:val="32"/>
          <w:szCs w:val="32"/>
          <w:highlight w:val="none"/>
          <w:lang w:val="en-US" w:eastAsia="zh-CN" w:bidi="ar-SA"/>
        </w:rPr>
        <w:t>2、县林草局在下一步的工作中将强化对具体开展工作的科室对项目绩效的参与度，切实强化项目绩效管理。</w:t>
      </w:r>
    </w:p>
    <w:p>
      <w:pPr>
        <w:pStyle w:val="4"/>
        <w:bidi w:val="0"/>
        <w:outlineLvl w:val="0"/>
        <w:rPr>
          <w:color w:val="auto"/>
          <w:highlight w:val="none"/>
        </w:rPr>
      </w:pPr>
      <w:bookmarkStart w:id="68" w:name="_Toc30571"/>
      <w:bookmarkStart w:id="69" w:name="_Toc28177"/>
      <w:r>
        <w:rPr>
          <w:rFonts w:hint="eastAsia"/>
          <w:color w:val="auto"/>
          <w:highlight w:val="none"/>
        </w:rPr>
        <w:t>七、其他需要说明的问题</w:t>
      </w:r>
      <w:bookmarkEnd w:id="68"/>
      <w:bookmarkEnd w:id="69"/>
    </w:p>
    <w:p>
      <w:pPr>
        <w:bidi w:val="0"/>
        <w:rPr>
          <w:color w:val="auto"/>
          <w:highlight w:val="none"/>
        </w:rPr>
      </w:pPr>
      <w:r>
        <w:rPr>
          <w:rFonts w:hint="eastAsia"/>
          <w:color w:val="auto"/>
          <w:highlight w:val="none"/>
        </w:rPr>
        <w:t>无其他需要说明的问题。</w:t>
      </w:r>
    </w:p>
    <w:p>
      <w:pPr>
        <w:bidi w:val="0"/>
        <w:rPr>
          <w:color w:val="auto"/>
          <w:highlight w:val="none"/>
        </w:rPr>
        <w:sectPr>
          <w:footerReference r:id="rId4" w:type="default"/>
          <w:pgSz w:w="11906" w:h="16838"/>
          <w:pgMar w:top="1440" w:right="1800" w:bottom="1440" w:left="1800" w:header="851" w:footer="992" w:gutter="0"/>
          <w:pgNumType w:fmt="decimal" w:start="1"/>
          <w:cols w:space="425" w:num="1"/>
          <w:docGrid w:type="lines" w:linePitch="312" w:charSpace="0"/>
        </w:sectPr>
      </w:pPr>
    </w:p>
    <w:p>
      <w:pPr>
        <w:pStyle w:val="4"/>
        <w:bidi w:val="0"/>
        <w:ind w:left="0" w:leftChars="0" w:firstLine="0" w:firstLineChars="0"/>
        <w:rPr>
          <w:color w:val="auto"/>
          <w:sz w:val="24"/>
          <w:szCs w:val="18"/>
          <w:highlight w:val="none"/>
        </w:rPr>
      </w:pPr>
      <w:bookmarkStart w:id="70" w:name="_Toc18004"/>
      <w:bookmarkStart w:id="71" w:name="_Toc6652"/>
      <w:bookmarkStart w:id="72" w:name="_Toc12781"/>
      <w:bookmarkStart w:id="73" w:name="_Toc5134"/>
      <w:bookmarkStart w:id="74" w:name="_Toc1641"/>
      <w:bookmarkStart w:id="75" w:name="_Toc28099"/>
      <w:r>
        <w:rPr>
          <w:color w:val="auto"/>
          <w:sz w:val="24"/>
          <w:szCs w:val="18"/>
          <w:highlight w:val="none"/>
        </w:rPr>
        <w:t>附件</w:t>
      </w:r>
      <w:r>
        <w:rPr>
          <w:rFonts w:ascii="Times New Roman" w:hAnsi="Times New Roman"/>
          <w:color w:val="auto"/>
          <w:sz w:val="24"/>
          <w:szCs w:val="18"/>
          <w:highlight w:val="none"/>
        </w:rPr>
        <w:t>1</w:t>
      </w:r>
      <w:r>
        <w:rPr>
          <w:color w:val="auto"/>
          <w:sz w:val="24"/>
          <w:szCs w:val="18"/>
          <w:highlight w:val="none"/>
        </w:rPr>
        <w:t>：项目支出绩效自评表</w:t>
      </w:r>
      <w:bookmarkEnd w:id="70"/>
      <w:bookmarkEnd w:id="71"/>
      <w:bookmarkEnd w:id="72"/>
    </w:p>
    <w:p>
      <w:pPr>
        <w:ind w:firstLine="600"/>
        <w:jc w:val="left"/>
        <w:rPr>
          <w:color w:val="auto"/>
          <w:sz w:val="30"/>
          <w:szCs w:val="30"/>
          <w:highlight w:val="none"/>
        </w:rPr>
      </w:pPr>
      <w:r>
        <w:rPr>
          <w:color w:val="auto"/>
          <w:sz w:val="30"/>
          <w:szCs w:val="30"/>
          <w:highlight w:val="none"/>
        </w:rPr>
        <w:pict>
          <v:shape id="_x0000_s1026" o:spid="_x0000_s1026" o:spt="75" type="#_x0000_t75" style="position:absolute;left:0pt;margin-left:-7.55pt;margin-top:30.55pt;height:591.3pt;width:385.9pt;z-index:251659264;mso-width-relative:page;mso-height-relative:page;" o:ole="t" filled="f" o:preferrelative="t" stroked="f" coordsize="21600,21600">
            <v:path/>
            <v:fill on="f" focussize="0,0"/>
            <v:stroke on="f"/>
            <v:imagedata r:id="rId7" o:title=""/>
            <o:lock v:ext="edit" aspectratio="t"/>
          </v:shape>
          <o:OLEObject Type="Embed" ProgID="Excel.Sheet.8" ShapeID="_x0000_s1026" DrawAspect="Content" ObjectID="_1468075725" r:id="rId6">
            <o:LockedField>false</o:LockedField>
          </o:OLEObject>
        </w:pict>
      </w:r>
      <w:r>
        <w:rPr>
          <w:color w:val="auto"/>
          <w:sz w:val="30"/>
          <w:szCs w:val="30"/>
          <w:highlight w:val="none"/>
        </w:rPr>
        <w:br w:type="page"/>
      </w:r>
    </w:p>
    <w:p>
      <w:pPr>
        <w:ind w:firstLine="600"/>
        <w:rPr>
          <w:color w:val="auto"/>
          <w:sz w:val="30"/>
          <w:szCs w:val="30"/>
          <w:highlight w:val="none"/>
        </w:rPr>
      </w:pPr>
    </w:p>
    <w:bookmarkEnd w:id="73"/>
    <w:bookmarkEnd w:id="74"/>
    <w:bookmarkEnd w:id="75"/>
    <w:p>
      <w:pPr>
        <w:pStyle w:val="4"/>
        <w:bidi w:val="0"/>
        <w:ind w:left="0" w:leftChars="0" w:firstLine="0" w:firstLineChars="0"/>
        <w:rPr>
          <w:color w:val="auto"/>
          <w:sz w:val="24"/>
          <w:szCs w:val="18"/>
          <w:highlight w:val="none"/>
        </w:rPr>
      </w:pPr>
      <w:bookmarkStart w:id="76" w:name="_Toc23301"/>
      <w:r>
        <w:rPr>
          <w:color w:val="auto"/>
          <w:sz w:val="24"/>
          <w:szCs w:val="18"/>
          <w:highlight w:val="none"/>
        </w:rPr>
        <w:t>附件</w:t>
      </w:r>
      <w:r>
        <w:rPr>
          <w:rFonts w:hint="eastAsia" w:ascii="Times New Roman" w:hAnsi="Times New Roman"/>
          <w:color w:val="auto"/>
          <w:sz w:val="24"/>
          <w:szCs w:val="18"/>
          <w:highlight w:val="none"/>
        </w:rPr>
        <w:t>2</w:t>
      </w:r>
      <w:r>
        <w:rPr>
          <w:color w:val="auto"/>
          <w:sz w:val="24"/>
          <w:szCs w:val="18"/>
          <w:highlight w:val="none"/>
        </w:rPr>
        <w:t>：项目支出绩效评价指标体系及评分</w:t>
      </w:r>
      <w:bookmarkEnd w:id="76"/>
    </w:p>
    <w:p>
      <w:pPr>
        <w:pStyle w:val="17"/>
        <w:bidi w:val="0"/>
        <w:rPr>
          <w:color w:val="auto"/>
          <w:highlight w:val="none"/>
        </w:rPr>
      </w:pPr>
      <w:r>
        <w:rPr>
          <w:color w:val="auto"/>
          <w:highlight w:val="none"/>
        </w:rPr>
        <w:t>项目支出绩效评价指标体系及评分</w:t>
      </w:r>
    </w:p>
    <w:tbl>
      <w:tblPr>
        <w:tblStyle w:val="14"/>
        <w:tblpPr w:leftFromText="180" w:rightFromText="180" w:vertAnchor="text" w:horzAnchor="page" w:tblpX="1553" w:tblpY="180"/>
        <w:tblOverlap w:val="never"/>
        <w:tblW w:w="9192" w:type="dxa"/>
        <w:tblInd w:w="0" w:type="dxa"/>
        <w:shd w:val="clear" w:color="auto" w:fill="auto"/>
        <w:tblLayout w:type="fixed"/>
        <w:tblCellMar>
          <w:top w:w="0" w:type="dxa"/>
          <w:left w:w="108" w:type="dxa"/>
          <w:bottom w:w="0" w:type="dxa"/>
          <w:right w:w="108" w:type="dxa"/>
        </w:tblCellMar>
      </w:tblPr>
      <w:tblGrid>
        <w:gridCol w:w="699"/>
        <w:gridCol w:w="740"/>
        <w:gridCol w:w="739"/>
        <w:gridCol w:w="2000"/>
        <w:gridCol w:w="3521"/>
        <w:gridCol w:w="685"/>
        <w:gridCol w:w="808"/>
      </w:tblGrid>
      <w:tr>
        <w:tblPrEx>
          <w:shd w:val="clear" w:color="auto" w:fill="auto"/>
          <w:tblCellMar>
            <w:top w:w="0" w:type="dxa"/>
            <w:left w:w="108" w:type="dxa"/>
            <w:bottom w:w="0" w:type="dxa"/>
            <w:right w:w="108" w:type="dxa"/>
          </w:tblCellMar>
        </w:tblPrEx>
        <w:trPr>
          <w:trHeight w:val="46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一级指标</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二级指标</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三级指标</w:t>
            </w:r>
          </w:p>
        </w:tc>
        <w:tc>
          <w:tcPr>
            <w:tcW w:w="2000" w:type="dxa"/>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指标解释</w:t>
            </w:r>
          </w:p>
        </w:tc>
        <w:tc>
          <w:tcPr>
            <w:tcW w:w="352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指标说明</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分值</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得分</w:t>
            </w:r>
          </w:p>
        </w:tc>
      </w:tr>
      <w:tr>
        <w:tblPrEx>
          <w:tblCellMar>
            <w:top w:w="0" w:type="dxa"/>
            <w:left w:w="108" w:type="dxa"/>
            <w:bottom w:w="0" w:type="dxa"/>
            <w:right w:w="108" w:type="dxa"/>
          </w:tblCellMar>
        </w:tblPrEx>
        <w:trPr>
          <w:trHeight w:val="460" w:hRule="atLeast"/>
        </w:trPr>
        <w:tc>
          <w:tcPr>
            <w:tcW w:w="6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决策</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项目</w:t>
            </w:r>
            <w:r>
              <w:rPr>
                <w:rFonts w:hint="eastAsia"/>
                <w:color w:val="auto"/>
                <w:sz w:val="21"/>
                <w:szCs w:val="22"/>
                <w:highlight w:val="none"/>
              </w:rPr>
              <w:t>实施</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实施</w:t>
            </w:r>
            <w:r>
              <w:rPr>
                <w:color w:val="auto"/>
                <w:sz w:val="21"/>
                <w:szCs w:val="22"/>
                <w:highlight w:val="none"/>
              </w:rPr>
              <w:t>依据充分性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w:t>
            </w:r>
            <w:r>
              <w:rPr>
                <w:rFonts w:hint="eastAsia"/>
                <w:color w:val="auto"/>
                <w:sz w:val="21"/>
                <w:szCs w:val="22"/>
                <w:highlight w:val="none"/>
              </w:rPr>
              <w:t>实施</w:t>
            </w:r>
            <w:r>
              <w:rPr>
                <w:color w:val="auto"/>
                <w:sz w:val="21"/>
                <w:szCs w:val="22"/>
                <w:highlight w:val="none"/>
              </w:rPr>
              <w:t>是否符合法律法规、相关政策、发展规划以及部门职责，用以反映和考核项目</w:t>
            </w:r>
            <w:r>
              <w:rPr>
                <w:rFonts w:hint="eastAsia"/>
                <w:color w:val="auto"/>
                <w:sz w:val="21"/>
                <w:szCs w:val="22"/>
                <w:highlight w:val="none"/>
              </w:rPr>
              <w:t>实施</w:t>
            </w:r>
            <w:r>
              <w:rPr>
                <w:color w:val="auto"/>
                <w:sz w:val="21"/>
                <w:szCs w:val="22"/>
                <w:highlight w:val="none"/>
              </w:rPr>
              <w:t>依据情况。</w:t>
            </w: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3</w:t>
            </w:r>
          </w:p>
        </w:tc>
        <w:tc>
          <w:tcPr>
            <w:tcW w:w="808" w:type="dxa"/>
            <w:vMerge w:val="restart"/>
            <w:tcBorders>
              <w:top w:val="single" w:color="000000" w:sz="4" w:space="0"/>
              <w:left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3</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①项目</w:t>
            </w:r>
            <w:r>
              <w:rPr>
                <w:rFonts w:hint="eastAsia"/>
                <w:color w:val="auto"/>
                <w:sz w:val="21"/>
                <w:szCs w:val="22"/>
                <w:highlight w:val="none"/>
              </w:rPr>
              <w:t>实施</w:t>
            </w:r>
            <w:r>
              <w:rPr>
                <w:color w:val="auto"/>
                <w:sz w:val="21"/>
                <w:szCs w:val="22"/>
                <w:highlight w:val="none"/>
              </w:rPr>
              <w:t>是否符合国家法律法规、国民经济发展规划和相关政策；</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②项目</w:t>
            </w:r>
            <w:r>
              <w:rPr>
                <w:rFonts w:hint="eastAsia"/>
                <w:color w:val="auto"/>
                <w:sz w:val="21"/>
                <w:szCs w:val="22"/>
                <w:highlight w:val="none"/>
              </w:rPr>
              <w:t>实施</w:t>
            </w:r>
            <w:r>
              <w:rPr>
                <w:color w:val="auto"/>
                <w:sz w:val="21"/>
                <w:szCs w:val="22"/>
                <w:highlight w:val="none"/>
              </w:rPr>
              <w:t>是否符合行业发展规划和政策要求；</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③项目</w:t>
            </w:r>
            <w:r>
              <w:rPr>
                <w:rFonts w:hint="eastAsia"/>
                <w:color w:val="auto"/>
                <w:sz w:val="21"/>
                <w:szCs w:val="22"/>
                <w:highlight w:val="none"/>
              </w:rPr>
              <w:t>实施</w:t>
            </w:r>
            <w:r>
              <w:rPr>
                <w:color w:val="auto"/>
                <w:sz w:val="21"/>
                <w:szCs w:val="22"/>
                <w:highlight w:val="none"/>
              </w:rPr>
              <w:t>是否与部门职责范围相符，属于部门履职所需；</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④项目是否属于公共财政支持范围，是否符合中央、地方事权支出责任划分原则；</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⑤项目是否与相关部门同类项目或部门内部相关项目重复。</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实施</w:t>
            </w:r>
            <w:r>
              <w:rPr>
                <w:color w:val="auto"/>
                <w:sz w:val="21"/>
                <w:szCs w:val="22"/>
                <w:highlight w:val="none"/>
              </w:rPr>
              <w:t>程序规范性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项目申请、设立过程是否符合相关要求，用以反映和考核项目</w:t>
            </w:r>
            <w:r>
              <w:rPr>
                <w:rFonts w:hint="eastAsia"/>
                <w:color w:val="auto"/>
                <w:sz w:val="21"/>
                <w:szCs w:val="22"/>
                <w:highlight w:val="none"/>
              </w:rPr>
              <w:t>实施</w:t>
            </w:r>
            <w:r>
              <w:rPr>
                <w:color w:val="auto"/>
                <w:sz w:val="21"/>
                <w:szCs w:val="22"/>
                <w:highlight w:val="none"/>
              </w:rPr>
              <w:t>的规范情况。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3</w:t>
            </w:r>
          </w:p>
        </w:tc>
        <w:tc>
          <w:tcPr>
            <w:tcW w:w="808" w:type="dxa"/>
            <w:vMerge w:val="restart"/>
            <w:tcBorders>
              <w:top w:val="single" w:color="000000" w:sz="4" w:space="0"/>
              <w:left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3</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①项目是否按照规定的程序申请设立；</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②审批文件、材料是否符合相关要求；</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绩效目标</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绩效目标合理性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项目所设定的绩效目标是否依据充分，是否符合客观实际，用以反映和考核项目绩效目标与项目实施的相符情况。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4</w:t>
            </w:r>
          </w:p>
        </w:tc>
        <w:tc>
          <w:tcPr>
            <w:tcW w:w="808" w:type="dxa"/>
            <w:vMerge w:val="restart"/>
            <w:tcBorders>
              <w:top w:val="single" w:color="000000" w:sz="4" w:space="0"/>
              <w:left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4</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①项目是否有绩效目标；</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②项目绩效目标与实际工作内容是否具有相关性；</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③项目预期产出效益和效果是否符合正常的业绩水平；</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④是否与预算确定的项目投资额或资金量相匹配。</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绩效指标明确性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依据绩效目标设定的绩效指标是否清晰、细化、可衡量等，用以反映和考核项目绩效目标的明细化情况。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4</w:t>
            </w:r>
          </w:p>
        </w:tc>
        <w:tc>
          <w:tcPr>
            <w:tcW w:w="808" w:type="dxa"/>
            <w:vMerge w:val="restart"/>
            <w:tcBorders>
              <w:top w:val="single" w:color="000000" w:sz="4" w:space="0"/>
              <w:left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4</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①是否将项目绩效目标细化分解为具体的绩效指标；</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②是否通过清晰、可衡量的指标值予以体现；</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72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③是否与项目目标任务数或计划数相对应。</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资金投入</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预算编制科学性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项目预算编制是否经过科学论证、有明确标准，资金额度与年度目标是否相适应，用以反映和考核项目预算编制的科学性、合理性情况。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4</w:t>
            </w:r>
          </w:p>
        </w:tc>
        <w:tc>
          <w:tcPr>
            <w:tcW w:w="808" w:type="dxa"/>
            <w:vMerge w:val="restart"/>
            <w:tcBorders>
              <w:top w:val="single" w:color="000000" w:sz="4" w:space="0"/>
              <w:left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4</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①预算编制是否经过科学论证；</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②预算内容与项目内容是否匹配；</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③预算额度测算依据是否充分，是否按照标准编制；</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④预算确定的项目投资额或资金量是否与工作任务相匹配。</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资金分配合理性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项目预算资金分配是否有测算依据，与补助单位或地方实际是否相适应，用以反映和考核项目预算资金分配的科学性、合理性情况。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4</w:t>
            </w:r>
          </w:p>
        </w:tc>
        <w:tc>
          <w:tcPr>
            <w:tcW w:w="808" w:type="dxa"/>
            <w:vMerge w:val="restart"/>
            <w:tcBorders>
              <w:top w:val="single" w:color="000000" w:sz="4" w:space="0"/>
              <w:left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4</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①预算资金分配依据是否充分；</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②资金分配额度是否合理，与</w:t>
            </w:r>
            <w:r>
              <w:rPr>
                <w:rFonts w:hint="eastAsia"/>
                <w:color w:val="auto"/>
                <w:sz w:val="21"/>
                <w:szCs w:val="22"/>
                <w:highlight w:val="none"/>
              </w:rPr>
              <w:t>补助</w:t>
            </w:r>
            <w:r>
              <w:rPr>
                <w:color w:val="auto"/>
                <w:sz w:val="21"/>
                <w:szCs w:val="22"/>
                <w:highlight w:val="none"/>
              </w:rPr>
              <w:t>项目单位或地方实际是否相适应。</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过程</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资金管理</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资金到位率</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实际到位资金与预算资金的比率，用以反映和考核资金落实情况对项目实施的总体保障程度。</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资金到位率=（实际到位资金/预算资金）×100%。</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4</w:t>
            </w:r>
          </w:p>
        </w:tc>
        <w:tc>
          <w:tcPr>
            <w:tcW w:w="808" w:type="dxa"/>
            <w:vMerge w:val="restart"/>
            <w:tcBorders>
              <w:top w:val="single" w:color="000000" w:sz="4" w:space="0"/>
              <w:left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4</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实际到位资金：一定时期（本年度或项目期）内落实到具体项目的资金。</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预算资金：一定时期（本年度或项目期）内预算安排到具体项目的资金。</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预算执行率</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项目预算资金是否按照计划执行，用以反映或考核项目预算执行情况。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预算执行率=（实际支出资金/实际到位资金）×100%。</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4</w:t>
            </w:r>
          </w:p>
        </w:tc>
        <w:tc>
          <w:tcPr>
            <w:tcW w:w="808" w:type="dxa"/>
            <w:vMerge w:val="restart"/>
            <w:tcBorders>
              <w:top w:val="single" w:color="000000" w:sz="4" w:space="0"/>
              <w:left w:val="single" w:color="000000" w:sz="4" w:space="0"/>
              <w:right w:val="single" w:color="000000" w:sz="4" w:space="0"/>
            </w:tcBorders>
            <w:shd w:val="clear" w:color="auto" w:fill="auto"/>
            <w:vAlign w:val="center"/>
          </w:tcPr>
          <w:p>
            <w:pPr>
              <w:pStyle w:val="18"/>
              <w:bidi w:val="0"/>
              <w:rPr>
                <w:rFonts w:hint="default" w:eastAsia="仿宋_GB2312"/>
                <w:color w:val="auto"/>
                <w:sz w:val="21"/>
                <w:szCs w:val="22"/>
                <w:highlight w:val="none"/>
                <w:lang w:val="en-US" w:eastAsia="zh-CN"/>
              </w:rPr>
            </w:pPr>
            <w:r>
              <w:rPr>
                <w:rFonts w:hint="eastAsia"/>
                <w:color w:val="auto"/>
                <w:sz w:val="21"/>
                <w:szCs w:val="22"/>
                <w:highlight w:val="none"/>
                <w:lang w:val="en-US" w:eastAsia="zh-CN"/>
              </w:rPr>
              <w:t>3.55</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实际支出资金：一定时期（本年度或项目期）内项目实际拨付的资金。</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资金使用合规性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项目资金使用是否符合相关的财务管理制度规定，用以反映和考核项目资金的规范运行情况。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4</w:t>
            </w:r>
          </w:p>
        </w:tc>
        <w:tc>
          <w:tcPr>
            <w:tcW w:w="808" w:type="dxa"/>
            <w:vMerge w:val="restart"/>
            <w:tcBorders>
              <w:top w:val="single" w:color="000000" w:sz="4" w:space="0"/>
              <w:left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4</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①是否符合国家财经法规和财务管理制度以及有关专项资金管理办法的规定；</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②资金的拨付是否有完整的审批程序和手续；</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374"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③是否符合项目预算批复或合同规定的用途；</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④是否存在截留、挤占、挪用、虚列支出等情况。</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组织实施</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管理制度健全性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项目实施单位的财务和业务管理制度是否健全，用以反映和考核财务和业务管理制度对项目顺利实施的保障情况。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3</w:t>
            </w:r>
          </w:p>
        </w:tc>
        <w:tc>
          <w:tcPr>
            <w:tcW w:w="808" w:type="dxa"/>
            <w:vMerge w:val="restart"/>
            <w:tcBorders>
              <w:top w:val="single" w:color="000000" w:sz="4" w:space="0"/>
              <w:left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3</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①是否已制定或具有相应的财务和业务管理制度；</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②财务和业务管理制度是否合法、合规、完整。</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制度执行有效性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项目实施是否符合相关管理规定，用以反映和考核相关管理制度的有效执行情况。</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评价要点：</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3</w:t>
            </w:r>
          </w:p>
        </w:tc>
        <w:tc>
          <w:tcPr>
            <w:tcW w:w="808" w:type="dxa"/>
            <w:vMerge w:val="restart"/>
            <w:tcBorders>
              <w:top w:val="single" w:color="000000" w:sz="4" w:space="0"/>
              <w:left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3</w:t>
            </w: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①是否遵守相关法律法规和相关管理规定；</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②项目调整及支出调整手续是否完备；</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restart"/>
            <w:tcBorders>
              <w:top w:val="single" w:color="000000" w:sz="4" w:space="0"/>
              <w:left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产出</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产出数量</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实际完成率</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项目实施的实际产出数与计划产出数的比率，用以反映和考核项目产出数量目标的实现程度。</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实际完成率=（实际产出数/计划产出数）×100%。</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rFonts w:hint="default" w:eastAsia="仿宋_GB2312"/>
                <w:color w:val="auto"/>
                <w:sz w:val="21"/>
                <w:szCs w:val="22"/>
                <w:highlight w:val="none"/>
                <w:lang w:val="en-US" w:eastAsia="zh-CN"/>
              </w:rPr>
            </w:pPr>
            <w:r>
              <w:rPr>
                <w:rFonts w:hint="eastAsia"/>
                <w:color w:val="auto"/>
                <w:sz w:val="21"/>
                <w:szCs w:val="22"/>
                <w:highlight w:val="none"/>
                <w:lang w:val="en-US" w:eastAsia="zh-CN"/>
              </w:rPr>
              <w:t>12</w:t>
            </w:r>
          </w:p>
        </w:tc>
        <w:tc>
          <w:tcPr>
            <w:tcW w:w="808" w:type="dxa"/>
            <w:vMerge w:val="restart"/>
            <w:tcBorders>
              <w:top w:val="single" w:color="000000" w:sz="4" w:space="0"/>
              <w:left w:val="single" w:color="000000" w:sz="4" w:space="0"/>
              <w:right w:val="single" w:color="000000" w:sz="4" w:space="0"/>
            </w:tcBorders>
            <w:shd w:val="clear" w:color="auto" w:fill="auto"/>
            <w:vAlign w:val="center"/>
          </w:tcPr>
          <w:p>
            <w:pPr>
              <w:pStyle w:val="18"/>
              <w:bidi w:val="0"/>
              <w:rPr>
                <w:rFonts w:hint="default" w:eastAsia="仿宋_GB2312"/>
                <w:color w:val="auto"/>
                <w:sz w:val="21"/>
                <w:szCs w:val="22"/>
                <w:highlight w:val="none"/>
                <w:lang w:val="en-US" w:eastAsia="zh-CN"/>
              </w:rPr>
            </w:pPr>
            <w:r>
              <w:rPr>
                <w:rFonts w:hint="eastAsia"/>
                <w:color w:val="auto"/>
                <w:sz w:val="21"/>
                <w:szCs w:val="22"/>
                <w:highlight w:val="none"/>
                <w:lang w:val="en-US" w:eastAsia="zh-CN"/>
              </w:rPr>
              <w:t>12</w:t>
            </w:r>
          </w:p>
        </w:tc>
      </w:tr>
      <w:tr>
        <w:tblPrEx>
          <w:tblCellMar>
            <w:top w:w="0" w:type="dxa"/>
            <w:left w:w="108" w:type="dxa"/>
            <w:bottom w:w="0" w:type="dxa"/>
            <w:right w:w="108" w:type="dxa"/>
          </w:tblCellMar>
        </w:tblPrEx>
        <w:trPr>
          <w:trHeight w:val="460" w:hRule="atLeast"/>
        </w:trPr>
        <w:tc>
          <w:tcPr>
            <w:tcW w:w="699"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实际产出数：一定时期（本年度或项目期）内项目实际产出的产品或提供的服务数量。</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计划产出数：项目绩效目标确定的在一定时期（本年度或项目期）内计划产出的产品或提供的服务数量。</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780" w:hRule="atLeast"/>
        </w:trPr>
        <w:tc>
          <w:tcPr>
            <w:tcW w:w="699"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产出质量</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质量达标率</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项目完成的质量达标产出数与实际产出数的比率，用以反映和考核项目产出质量目标的实现程度。</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质量达标率=（质量达标产出数/实际产出数）×100%。</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rFonts w:hint="default" w:eastAsia="仿宋_GB2312"/>
                <w:color w:val="auto"/>
                <w:sz w:val="21"/>
                <w:szCs w:val="22"/>
                <w:highlight w:val="none"/>
                <w:lang w:val="en-US" w:eastAsia="zh-CN"/>
              </w:rPr>
            </w:pPr>
            <w:r>
              <w:rPr>
                <w:rFonts w:hint="eastAsia"/>
                <w:color w:val="auto"/>
                <w:sz w:val="21"/>
                <w:szCs w:val="22"/>
                <w:highlight w:val="none"/>
                <w:lang w:val="en-US" w:eastAsia="zh-CN"/>
              </w:rPr>
              <w:t>12</w:t>
            </w:r>
          </w:p>
        </w:tc>
        <w:tc>
          <w:tcPr>
            <w:tcW w:w="808" w:type="dxa"/>
            <w:vMerge w:val="restart"/>
            <w:tcBorders>
              <w:top w:val="single" w:color="000000" w:sz="4" w:space="0"/>
              <w:left w:val="single" w:color="000000" w:sz="4" w:space="0"/>
              <w:right w:val="single" w:color="000000" w:sz="4" w:space="0"/>
            </w:tcBorders>
            <w:shd w:val="clear" w:color="auto" w:fill="auto"/>
            <w:vAlign w:val="center"/>
          </w:tcPr>
          <w:p>
            <w:pPr>
              <w:pStyle w:val="18"/>
              <w:bidi w:val="0"/>
              <w:rPr>
                <w:rFonts w:hint="default" w:eastAsia="仿宋_GB2312"/>
                <w:color w:val="auto"/>
                <w:sz w:val="21"/>
                <w:szCs w:val="22"/>
                <w:highlight w:val="none"/>
                <w:lang w:val="en-US" w:eastAsia="zh-CN"/>
              </w:rPr>
            </w:pPr>
            <w:r>
              <w:rPr>
                <w:rFonts w:hint="eastAsia"/>
                <w:color w:val="auto"/>
                <w:sz w:val="21"/>
                <w:szCs w:val="22"/>
                <w:highlight w:val="none"/>
                <w:lang w:val="en-US" w:eastAsia="zh-CN"/>
              </w:rPr>
              <w:t>12</w:t>
            </w:r>
          </w:p>
        </w:tc>
      </w:tr>
      <w:tr>
        <w:tblPrEx>
          <w:tblCellMar>
            <w:top w:w="0" w:type="dxa"/>
            <w:left w:w="108" w:type="dxa"/>
            <w:bottom w:w="0" w:type="dxa"/>
            <w:right w:w="108" w:type="dxa"/>
          </w:tblCellMar>
        </w:tblPrEx>
        <w:trPr>
          <w:trHeight w:val="880" w:hRule="atLeast"/>
        </w:trPr>
        <w:tc>
          <w:tcPr>
            <w:tcW w:w="699"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60" w:hRule="atLeast"/>
        </w:trPr>
        <w:tc>
          <w:tcPr>
            <w:tcW w:w="699"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产出时效</w:t>
            </w:r>
          </w:p>
        </w:tc>
        <w:tc>
          <w:tcPr>
            <w:tcW w:w="7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完成及时性</w:t>
            </w:r>
          </w:p>
        </w:tc>
        <w:tc>
          <w:tcPr>
            <w:tcW w:w="2000" w:type="dxa"/>
            <w:vMerge w:val="restart"/>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项目实际完成时间与计划完成时间的比较，用以反映和考核项目产出时效目标的实现程度。</w:t>
            </w:r>
          </w:p>
        </w:tc>
        <w:tc>
          <w:tcPr>
            <w:tcW w:w="3521" w:type="dxa"/>
            <w:tcBorders>
              <w:top w:val="single" w:color="000000" w:sz="4" w:space="0"/>
              <w:left w:val="single" w:color="000000" w:sz="4" w:space="0"/>
              <w:bottom w:val="nil"/>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实际完成时间：项目实施单位完成该项目实际所耗用的时间。</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rFonts w:hint="eastAsia" w:eastAsia="仿宋_GB2312"/>
                <w:color w:val="auto"/>
                <w:sz w:val="21"/>
                <w:szCs w:val="22"/>
                <w:highlight w:val="none"/>
                <w:lang w:eastAsia="zh-CN"/>
              </w:rPr>
            </w:pPr>
            <w:r>
              <w:rPr>
                <w:rFonts w:hint="eastAsia"/>
                <w:color w:val="auto"/>
                <w:sz w:val="21"/>
                <w:szCs w:val="22"/>
                <w:highlight w:val="none"/>
                <w:lang w:val="en-US" w:eastAsia="zh-CN"/>
              </w:rPr>
              <w:t>8</w:t>
            </w:r>
          </w:p>
        </w:tc>
        <w:tc>
          <w:tcPr>
            <w:tcW w:w="808" w:type="dxa"/>
            <w:vMerge w:val="restart"/>
            <w:tcBorders>
              <w:top w:val="single" w:color="000000" w:sz="4" w:space="0"/>
              <w:left w:val="single" w:color="000000" w:sz="4" w:space="0"/>
              <w:right w:val="single" w:color="000000" w:sz="4" w:space="0"/>
            </w:tcBorders>
            <w:shd w:val="clear" w:color="auto" w:fill="auto"/>
            <w:vAlign w:val="center"/>
          </w:tcPr>
          <w:p>
            <w:pPr>
              <w:pStyle w:val="18"/>
              <w:bidi w:val="0"/>
              <w:rPr>
                <w:rFonts w:hint="eastAsia" w:eastAsia="仿宋_GB2312"/>
                <w:color w:val="auto"/>
                <w:sz w:val="21"/>
                <w:szCs w:val="22"/>
                <w:highlight w:val="none"/>
                <w:lang w:eastAsia="zh-CN"/>
              </w:rPr>
            </w:pPr>
            <w:r>
              <w:rPr>
                <w:rFonts w:hint="eastAsia"/>
                <w:color w:val="auto"/>
                <w:sz w:val="21"/>
                <w:szCs w:val="22"/>
                <w:highlight w:val="none"/>
                <w:lang w:val="en-US" w:eastAsia="zh-CN"/>
              </w:rPr>
              <w:t>8</w:t>
            </w:r>
          </w:p>
        </w:tc>
      </w:tr>
      <w:tr>
        <w:tblPrEx>
          <w:tblCellMar>
            <w:top w:w="0" w:type="dxa"/>
            <w:left w:w="108" w:type="dxa"/>
            <w:bottom w:w="0" w:type="dxa"/>
            <w:right w:w="108" w:type="dxa"/>
          </w:tblCellMar>
        </w:tblPrEx>
        <w:trPr>
          <w:trHeight w:val="460" w:hRule="atLeast"/>
        </w:trPr>
        <w:tc>
          <w:tcPr>
            <w:tcW w:w="699" w:type="dxa"/>
            <w:vMerge w:val="continue"/>
            <w:tcBorders>
              <w:left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2000" w:type="dxa"/>
            <w:vMerge w:val="continue"/>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p>
        </w:tc>
        <w:tc>
          <w:tcPr>
            <w:tcW w:w="3521" w:type="dxa"/>
            <w:tcBorders>
              <w:top w:val="nil"/>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计划完成时间：按照项目实施计划或相关规定完成该项目所需的时间。</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808" w:type="dxa"/>
            <w:vMerge w:val="continue"/>
            <w:tcBorders>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r>
      <w:tr>
        <w:tblPrEx>
          <w:tblCellMar>
            <w:top w:w="0" w:type="dxa"/>
            <w:left w:w="108" w:type="dxa"/>
            <w:bottom w:w="0" w:type="dxa"/>
            <w:right w:w="108" w:type="dxa"/>
          </w:tblCellMar>
        </w:tblPrEx>
        <w:trPr>
          <w:trHeight w:val="457" w:hRule="atLeast"/>
        </w:trPr>
        <w:tc>
          <w:tcPr>
            <w:tcW w:w="699" w:type="dxa"/>
            <w:vMerge w:val="continue"/>
            <w:tcBorders>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仿宋_GB2312" w:cs="Times New Roman"/>
                <w:color w:val="auto"/>
                <w:kern w:val="44"/>
                <w:sz w:val="18"/>
                <w:szCs w:val="18"/>
                <w:highlight w:val="none"/>
                <w:lang w:val="en-US" w:eastAsia="zh-CN" w:bidi="ar-SA"/>
              </w:rPr>
            </w:pPr>
            <w:r>
              <w:rPr>
                <w:rFonts w:hint="default" w:ascii="Times New Roman" w:hAnsi="Times New Roman" w:eastAsia="仿宋_GB2312" w:cs="Times New Roman"/>
                <w:color w:val="auto"/>
                <w:sz w:val="18"/>
                <w:szCs w:val="18"/>
                <w:highlight w:val="none"/>
              </w:rPr>
              <w:t>产出成本</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仿宋_GB2312" w:cs="Times New Roman"/>
                <w:color w:val="auto"/>
                <w:kern w:val="44"/>
                <w:sz w:val="18"/>
                <w:szCs w:val="18"/>
                <w:highlight w:val="none"/>
                <w:lang w:val="en-US" w:eastAsia="zh-CN" w:bidi="ar-SA"/>
              </w:rPr>
            </w:pPr>
            <w:r>
              <w:rPr>
                <w:rFonts w:hint="default" w:ascii="Times New Roman" w:hAnsi="Times New Roman" w:eastAsia="仿宋_GB2312" w:cs="Times New Roman"/>
                <w:color w:val="auto"/>
                <w:sz w:val="18"/>
                <w:szCs w:val="18"/>
                <w:highlight w:val="none"/>
              </w:rPr>
              <w:t>成本节约率</w:t>
            </w:r>
          </w:p>
        </w:tc>
        <w:tc>
          <w:tcPr>
            <w:tcW w:w="2000" w:type="dxa"/>
            <w:tcBorders>
              <w:top w:val="single" w:color="000000" w:sz="4" w:space="0"/>
              <w:left w:val="single" w:color="000000" w:sz="4" w:space="0"/>
              <w:bottom w:val="single" w:color="000000" w:sz="4" w:space="0"/>
              <w:right w:val="nil"/>
            </w:tcBorders>
            <w:shd w:val="clear" w:color="auto" w:fill="auto"/>
            <w:vAlign w:val="center"/>
          </w:tcPr>
          <w:p>
            <w:pPr>
              <w:pStyle w:val="18"/>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kern w:val="44"/>
                <w:sz w:val="18"/>
                <w:szCs w:val="18"/>
                <w:highlight w:val="none"/>
                <w:lang w:val="en-US" w:eastAsia="zh-CN" w:bidi="ar-SA"/>
              </w:rPr>
            </w:pPr>
            <w:r>
              <w:rPr>
                <w:rFonts w:hint="default" w:ascii="Times New Roman" w:hAnsi="Times New Roman" w:eastAsia="仿宋_GB2312" w:cs="Times New Roman"/>
                <w:color w:val="auto"/>
                <w:sz w:val="18"/>
                <w:szCs w:val="18"/>
                <w:highlight w:val="none"/>
              </w:rPr>
              <w:t>完成项目计划工作目标的实际节约成本与计划成本的比率，用以反映和考核项目的成本节约程度。</w:t>
            </w:r>
          </w:p>
        </w:tc>
        <w:tc>
          <w:tcPr>
            <w:tcW w:w="352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成本节约率=〔（计划成本</w:t>
            </w:r>
            <w:r>
              <w:rPr>
                <w:rFonts w:hint="default" w:ascii="Times New Roman" w:hAnsi="Times New Roman" w:eastAsia="仿宋_GB2312" w:cs="Times New Roman"/>
                <w:color w:val="auto"/>
                <w:sz w:val="18"/>
                <w:szCs w:val="18"/>
                <w:highlight w:val="none"/>
                <w:lang w:eastAsia="zh-CN"/>
              </w:rPr>
              <w:t>－</w:t>
            </w:r>
            <w:r>
              <w:rPr>
                <w:rFonts w:hint="default" w:ascii="Times New Roman" w:hAnsi="Times New Roman" w:eastAsia="仿宋_GB2312" w:cs="Times New Roman"/>
                <w:color w:val="auto"/>
                <w:sz w:val="18"/>
                <w:szCs w:val="18"/>
                <w:highlight w:val="none"/>
              </w:rPr>
              <w:t>实际成本）/计划成本〕×100%。</w:t>
            </w:r>
          </w:p>
          <w:p>
            <w:pPr>
              <w:pStyle w:val="18"/>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实际成本：项目实施单位如期、保质、保量完成既定工作目标实际所耗费的支出。</w:t>
            </w:r>
          </w:p>
          <w:p>
            <w:pPr>
              <w:pStyle w:val="18"/>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kern w:val="44"/>
                <w:sz w:val="18"/>
                <w:szCs w:val="18"/>
                <w:highlight w:val="none"/>
                <w:lang w:val="en-US" w:eastAsia="zh-CN" w:bidi="ar-SA"/>
              </w:rPr>
            </w:pPr>
            <w:r>
              <w:rPr>
                <w:rFonts w:hint="default" w:ascii="Times New Roman" w:hAnsi="Times New Roman" w:eastAsia="仿宋_GB2312" w:cs="Times New Roman"/>
                <w:color w:val="auto"/>
                <w:sz w:val="18"/>
                <w:szCs w:val="18"/>
                <w:highlight w:val="none"/>
              </w:rPr>
              <w:t>计划成本：项目实施单位为完成工作目标计划安排的支出，一般以项目预算为参考。</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ind w:firstLine="0" w:firstLineChars="0"/>
              <w:rPr>
                <w:rFonts w:hint="default" w:ascii="Times New Roman" w:hAnsi="Times New Roman" w:eastAsia="仿宋_GB2312" w:cs="Times New Roman"/>
                <w:color w:val="auto"/>
                <w:kern w:val="44"/>
                <w:sz w:val="18"/>
                <w:szCs w:val="18"/>
                <w:highlight w:val="none"/>
                <w:lang w:val="en-US" w:eastAsia="zh-CN" w:bidi="ar-SA"/>
              </w:rPr>
            </w:pPr>
            <w:r>
              <w:rPr>
                <w:rFonts w:hint="eastAsia"/>
                <w:color w:val="auto"/>
                <w:sz w:val="21"/>
                <w:szCs w:val="22"/>
                <w:highlight w:val="none"/>
                <w:lang w:val="en-US" w:eastAsia="zh-CN"/>
              </w:rPr>
              <w:t>8</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ind w:firstLine="0" w:firstLineChars="0"/>
              <w:rPr>
                <w:rFonts w:hint="eastAsia"/>
                <w:color w:val="auto"/>
                <w:sz w:val="21"/>
                <w:szCs w:val="22"/>
                <w:highlight w:val="none"/>
              </w:rPr>
            </w:pPr>
            <w:r>
              <w:rPr>
                <w:rFonts w:hint="eastAsia"/>
                <w:color w:val="auto"/>
                <w:sz w:val="21"/>
                <w:szCs w:val="22"/>
                <w:highlight w:val="none"/>
                <w:lang w:val="en-US" w:eastAsia="zh-CN"/>
              </w:rPr>
              <w:t>7.12</w:t>
            </w:r>
          </w:p>
        </w:tc>
      </w:tr>
      <w:tr>
        <w:tblPrEx>
          <w:tblCellMar>
            <w:top w:w="0" w:type="dxa"/>
            <w:left w:w="108" w:type="dxa"/>
            <w:bottom w:w="0" w:type="dxa"/>
            <w:right w:w="108" w:type="dxa"/>
          </w:tblCellMar>
        </w:tblPrEx>
        <w:trPr>
          <w:trHeight w:val="780" w:hRule="atLeast"/>
        </w:trPr>
        <w:tc>
          <w:tcPr>
            <w:tcW w:w="6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效益</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项目效益</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实施效益</w:t>
            </w:r>
          </w:p>
        </w:tc>
        <w:tc>
          <w:tcPr>
            <w:tcW w:w="2000" w:type="dxa"/>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项目实施所产生的效益。</w:t>
            </w:r>
          </w:p>
        </w:tc>
        <w:tc>
          <w:tcPr>
            <w:tcW w:w="352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项目实施所产生的社会效益、经济效益、生态效益、可持续影响等。可根据项目实际情况有选择地设置和细化。</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10</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10</w:t>
            </w:r>
          </w:p>
        </w:tc>
      </w:tr>
      <w:tr>
        <w:tblPrEx>
          <w:tblCellMar>
            <w:top w:w="0" w:type="dxa"/>
            <w:left w:w="108" w:type="dxa"/>
            <w:bottom w:w="0" w:type="dxa"/>
            <w:right w:w="108" w:type="dxa"/>
          </w:tblCellMar>
        </w:tblPrEx>
        <w:trPr>
          <w:trHeight w:val="860" w:hRule="atLeast"/>
        </w:trPr>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满意度</w:t>
            </w:r>
          </w:p>
        </w:tc>
        <w:tc>
          <w:tcPr>
            <w:tcW w:w="2000" w:type="dxa"/>
            <w:tcBorders>
              <w:top w:val="single" w:color="000000" w:sz="4" w:space="0"/>
              <w:left w:val="single" w:color="000000" w:sz="4" w:space="0"/>
              <w:bottom w:val="single" w:color="000000" w:sz="4" w:space="0"/>
              <w:right w:val="nil"/>
            </w:tcBorders>
            <w:shd w:val="clear" w:color="auto" w:fill="auto"/>
            <w:vAlign w:val="center"/>
          </w:tcPr>
          <w:p>
            <w:pPr>
              <w:pStyle w:val="18"/>
              <w:bidi w:val="0"/>
              <w:rPr>
                <w:color w:val="auto"/>
                <w:sz w:val="21"/>
                <w:szCs w:val="22"/>
                <w:highlight w:val="none"/>
              </w:rPr>
            </w:pPr>
            <w:r>
              <w:rPr>
                <w:color w:val="auto"/>
                <w:sz w:val="21"/>
                <w:szCs w:val="22"/>
                <w:highlight w:val="none"/>
              </w:rPr>
              <w:t>社会公众或服务对象对项目实施效果的满意程度。</w:t>
            </w:r>
          </w:p>
        </w:tc>
        <w:tc>
          <w:tcPr>
            <w:tcW w:w="352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社会公众或服务对象是指因该项目实施而受到影响的部门（单位）、群体或个人。一般采取社会调查的方式。</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10</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rFonts w:hint="eastAsia"/>
                <w:color w:val="auto"/>
                <w:sz w:val="21"/>
                <w:szCs w:val="22"/>
                <w:highlight w:val="none"/>
              </w:rPr>
              <w:t>10</w:t>
            </w:r>
          </w:p>
        </w:tc>
      </w:tr>
      <w:tr>
        <w:tblPrEx>
          <w:tblCellMar>
            <w:top w:w="0" w:type="dxa"/>
            <w:left w:w="108" w:type="dxa"/>
            <w:bottom w:w="0" w:type="dxa"/>
            <w:right w:w="108" w:type="dxa"/>
          </w:tblCellMar>
        </w:tblPrEx>
        <w:trPr>
          <w:trHeight w:val="460" w:hRule="atLeast"/>
        </w:trPr>
        <w:tc>
          <w:tcPr>
            <w:tcW w:w="76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合计</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color w:val="auto"/>
                <w:sz w:val="21"/>
                <w:szCs w:val="22"/>
                <w:highlight w:val="none"/>
              </w:rPr>
            </w:pPr>
            <w:r>
              <w:rPr>
                <w:color w:val="auto"/>
                <w:sz w:val="21"/>
                <w:szCs w:val="22"/>
                <w:highlight w:val="none"/>
              </w:rPr>
              <w:t>100</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8"/>
              <w:bidi w:val="0"/>
              <w:rPr>
                <w:rFonts w:hint="default" w:eastAsia="仿宋_GB2312"/>
                <w:color w:val="auto"/>
                <w:sz w:val="21"/>
                <w:szCs w:val="22"/>
                <w:highlight w:val="none"/>
                <w:lang w:val="en-US" w:eastAsia="zh-CN"/>
              </w:rPr>
            </w:pPr>
            <w:r>
              <w:rPr>
                <w:rFonts w:hint="eastAsia"/>
                <w:color w:val="auto"/>
                <w:sz w:val="21"/>
                <w:szCs w:val="22"/>
                <w:highlight w:val="none"/>
                <w:lang w:val="en-US" w:eastAsia="zh-CN"/>
              </w:rPr>
              <w:t>98.67</w:t>
            </w:r>
          </w:p>
        </w:tc>
      </w:tr>
    </w:tbl>
    <w:p>
      <w:pPr>
        <w:ind w:firstLine="640"/>
        <w:rPr>
          <w:color w:val="auto"/>
          <w:highlight w:val="none"/>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auto"/>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4C9FE8"/>
    <w:multiLevelType w:val="singleLevel"/>
    <w:tmpl w:val="FF4C9FE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ODQ1NGNmNGU5ZTQ0MGUxMDEzMGEzNzMxNWFjNDkifQ=="/>
  </w:docVars>
  <w:rsids>
    <w:rsidRoot w:val="00172A27"/>
    <w:rsid w:val="00004A41"/>
    <w:rsid w:val="000348DC"/>
    <w:rsid w:val="000449F7"/>
    <w:rsid w:val="00055BDC"/>
    <w:rsid w:val="00060667"/>
    <w:rsid w:val="000611E4"/>
    <w:rsid w:val="000947D1"/>
    <w:rsid w:val="000A0952"/>
    <w:rsid w:val="000B2381"/>
    <w:rsid w:val="001144B9"/>
    <w:rsid w:val="00124518"/>
    <w:rsid w:val="0016767F"/>
    <w:rsid w:val="00175EE1"/>
    <w:rsid w:val="00191B2B"/>
    <w:rsid w:val="001A2E59"/>
    <w:rsid w:val="001E68A9"/>
    <w:rsid w:val="001F399B"/>
    <w:rsid w:val="002071C8"/>
    <w:rsid w:val="00213EE5"/>
    <w:rsid w:val="00226BE1"/>
    <w:rsid w:val="0028195E"/>
    <w:rsid w:val="00286273"/>
    <w:rsid w:val="002D4048"/>
    <w:rsid w:val="00314E81"/>
    <w:rsid w:val="00345492"/>
    <w:rsid w:val="00346B64"/>
    <w:rsid w:val="0039188D"/>
    <w:rsid w:val="003D7562"/>
    <w:rsid w:val="00410175"/>
    <w:rsid w:val="00415424"/>
    <w:rsid w:val="0046454C"/>
    <w:rsid w:val="004720E4"/>
    <w:rsid w:val="0048209D"/>
    <w:rsid w:val="004C4B92"/>
    <w:rsid w:val="004D51B2"/>
    <w:rsid w:val="004E1243"/>
    <w:rsid w:val="004E7DF7"/>
    <w:rsid w:val="004F73B1"/>
    <w:rsid w:val="0051467D"/>
    <w:rsid w:val="00515E7D"/>
    <w:rsid w:val="00540A1E"/>
    <w:rsid w:val="00550F8E"/>
    <w:rsid w:val="005512D1"/>
    <w:rsid w:val="00554F57"/>
    <w:rsid w:val="005554BD"/>
    <w:rsid w:val="0055607C"/>
    <w:rsid w:val="00571D72"/>
    <w:rsid w:val="005730A0"/>
    <w:rsid w:val="005A6F3B"/>
    <w:rsid w:val="005C29C5"/>
    <w:rsid w:val="005C7035"/>
    <w:rsid w:val="00602228"/>
    <w:rsid w:val="0062286C"/>
    <w:rsid w:val="0062723C"/>
    <w:rsid w:val="00686AA3"/>
    <w:rsid w:val="006A2D78"/>
    <w:rsid w:val="006C65BA"/>
    <w:rsid w:val="006F40CE"/>
    <w:rsid w:val="0079140F"/>
    <w:rsid w:val="007C5EE5"/>
    <w:rsid w:val="00813321"/>
    <w:rsid w:val="00813D9F"/>
    <w:rsid w:val="00851942"/>
    <w:rsid w:val="00861118"/>
    <w:rsid w:val="00870F32"/>
    <w:rsid w:val="00902AAE"/>
    <w:rsid w:val="00922570"/>
    <w:rsid w:val="00966991"/>
    <w:rsid w:val="00970CC9"/>
    <w:rsid w:val="0098249A"/>
    <w:rsid w:val="009834FF"/>
    <w:rsid w:val="00994901"/>
    <w:rsid w:val="009D3696"/>
    <w:rsid w:val="00A15D3A"/>
    <w:rsid w:val="00A22F3B"/>
    <w:rsid w:val="00A25D71"/>
    <w:rsid w:val="00A47B7A"/>
    <w:rsid w:val="00A6185E"/>
    <w:rsid w:val="00A725AF"/>
    <w:rsid w:val="00A762DA"/>
    <w:rsid w:val="00A83C01"/>
    <w:rsid w:val="00AA01D2"/>
    <w:rsid w:val="00AA4A54"/>
    <w:rsid w:val="00AA7227"/>
    <w:rsid w:val="00AA723D"/>
    <w:rsid w:val="00AD1679"/>
    <w:rsid w:val="00B049E0"/>
    <w:rsid w:val="00B05394"/>
    <w:rsid w:val="00B120CB"/>
    <w:rsid w:val="00B22074"/>
    <w:rsid w:val="00B42303"/>
    <w:rsid w:val="00B423D0"/>
    <w:rsid w:val="00B722B8"/>
    <w:rsid w:val="00B76F6C"/>
    <w:rsid w:val="00B822E2"/>
    <w:rsid w:val="00B92E9D"/>
    <w:rsid w:val="00BC3A59"/>
    <w:rsid w:val="00BE59E0"/>
    <w:rsid w:val="00BE6CCC"/>
    <w:rsid w:val="00C01C00"/>
    <w:rsid w:val="00C05D07"/>
    <w:rsid w:val="00C14165"/>
    <w:rsid w:val="00C36056"/>
    <w:rsid w:val="00C619F0"/>
    <w:rsid w:val="00CA7138"/>
    <w:rsid w:val="00CC2307"/>
    <w:rsid w:val="00CC652E"/>
    <w:rsid w:val="00CD3409"/>
    <w:rsid w:val="00CE43AD"/>
    <w:rsid w:val="00D22B5F"/>
    <w:rsid w:val="00D24FF5"/>
    <w:rsid w:val="00D32557"/>
    <w:rsid w:val="00D43E32"/>
    <w:rsid w:val="00D56A00"/>
    <w:rsid w:val="00D60FB5"/>
    <w:rsid w:val="00D72542"/>
    <w:rsid w:val="00D75372"/>
    <w:rsid w:val="00DA534A"/>
    <w:rsid w:val="00DC6A68"/>
    <w:rsid w:val="00DD2019"/>
    <w:rsid w:val="00DF0F32"/>
    <w:rsid w:val="00E12FCD"/>
    <w:rsid w:val="00E61A26"/>
    <w:rsid w:val="00F05AE2"/>
    <w:rsid w:val="00F070CA"/>
    <w:rsid w:val="00F26083"/>
    <w:rsid w:val="00F4288E"/>
    <w:rsid w:val="00F53D1D"/>
    <w:rsid w:val="00F65612"/>
    <w:rsid w:val="00F72E2D"/>
    <w:rsid w:val="00FA14B6"/>
    <w:rsid w:val="00FB1332"/>
    <w:rsid w:val="00FC61AF"/>
    <w:rsid w:val="00FD1006"/>
    <w:rsid w:val="00FF1FCF"/>
    <w:rsid w:val="04B83EBA"/>
    <w:rsid w:val="07A83A28"/>
    <w:rsid w:val="082F067D"/>
    <w:rsid w:val="0AA91DB6"/>
    <w:rsid w:val="0BA73C71"/>
    <w:rsid w:val="0C5469CB"/>
    <w:rsid w:val="0C7D249E"/>
    <w:rsid w:val="0CC854B7"/>
    <w:rsid w:val="0CFC50E7"/>
    <w:rsid w:val="0DCC2599"/>
    <w:rsid w:val="11E85A43"/>
    <w:rsid w:val="14BE5A22"/>
    <w:rsid w:val="16F541C7"/>
    <w:rsid w:val="180579A0"/>
    <w:rsid w:val="1AFC58EB"/>
    <w:rsid w:val="1B056B32"/>
    <w:rsid w:val="1D867D27"/>
    <w:rsid w:val="20DF3CB6"/>
    <w:rsid w:val="21B8708A"/>
    <w:rsid w:val="22002F1A"/>
    <w:rsid w:val="2217066C"/>
    <w:rsid w:val="229D30B0"/>
    <w:rsid w:val="235C66F3"/>
    <w:rsid w:val="24F84ABC"/>
    <w:rsid w:val="258A4700"/>
    <w:rsid w:val="27C850FF"/>
    <w:rsid w:val="28CE74FD"/>
    <w:rsid w:val="292B2C5B"/>
    <w:rsid w:val="2ADB64CF"/>
    <w:rsid w:val="2C3F50B7"/>
    <w:rsid w:val="2D170966"/>
    <w:rsid w:val="309171FA"/>
    <w:rsid w:val="32B4641F"/>
    <w:rsid w:val="344C0265"/>
    <w:rsid w:val="34C31CC8"/>
    <w:rsid w:val="39163200"/>
    <w:rsid w:val="391F1A12"/>
    <w:rsid w:val="392C744A"/>
    <w:rsid w:val="397B3E04"/>
    <w:rsid w:val="398C75FA"/>
    <w:rsid w:val="39AC74F9"/>
    <w:rsid w:val="3A0168D3"/>
    <w:rsid w:val="3A57603B"/>
    <w:rsid w:val="3B457B92"/>
    <w:rsid w:val="3BB8587A"/>
    <w:rsid w:val="3EC7507A"/>
    <w:rsid w:val="3FD249E5"/>
    <w:rsid w:val="419E5AFB"/>
    <w:rsid w:val="41EC0D67"/>
    <w:rsid w:val="45297C62"/>
    <w:rsid w:val="469D4A12"/>
    <w:rsid w:val="471C1FEF"/>
    <w:rsid w:val="488C067D"/>
    <w:rsid w:val="491A0401"/>
    <w:rsid w:val="494A1C92"/>
    <w:rsid w:val="49A36901"/>
    <w:rsid w:val="4A931CAD"/>
    <w:rsid w:val="4BDD438B"/>
    <w:rsid w:val="4BFC3821"/>
    <w:rsid w:val="4C0D65C5"/>
    <w:rsid w:val="4FD42264"/>
    <w:rsid w:val="50B00C42"/>
    <w:rsid w:val="517979E5"/>
    <w:rsid w:val="55DB7C59"/>
    <w:rsid w:val="5604091D"/>
    <w:rsid w:val="56D45B12"/>
    <w:rsid w:val="58303E02"/>
    <w:rsid w:val="5A98522A"/>
    <w:rsid w:val="5B594E77"/>
    <w:rsid w:val="5B9C1DC1"/>
    <w:rsid w:val="5BBB4441"/>
    <w:rsid w:val="5BFF58BE"/>
    <w:rsid w:val="5C3274F4"/>
    <w:rsid w:val="5C890CB4"/>
    <w:rsid w:val="5E4E357A"/>
    <w:rsid w:val="5E68756F"/>
    <w:rsid w:val="60031E2A"/>
    <w:rsid w:val="60832671"/>
    <w:rsid w:val="608A66C5"/>
    <w:rsid w:val="60FF036B"/>
    <w:rsid w:val="618B4BBA"/>
    <w:rsid w:val="643E2A9B"/>
    <w:rsid w:val="656C651C"/>
    <w:rsid w:val="68193156"/>
    <w:rsid w:val="69781036"/>
    <w:rsid w:val="69937072"/>
    <w:rsid w:val="69CF3CDC"/>
    <w:rsid w:val="69F410BB"/>
    <w:rsid w:val="6AE87029"/>
    <w:rsid w:val="6BA3165E"/>
    <w:rsid w:val="6BD93365"/>
    <w:rsid w:val="6DD53591"/>
    <w:rsid w:val="6F162762"/>
    <w:rsid w:val="714B6296"/>
    <w:rsid w:val="72A37968"/>
    <w:rsid w:val="72D05C96"/>
    <w:rsid w:val="74135864"/>
    <w:rsid w:val="7480197B"/>
    <w:rsid w:val="7633478D"/>
    <w:rsid w:val="77683CFD"/>
    <w:rsid w:val="7C4A0429"/>
    <w:rsid w:val="7C9A1C94"/>
    <w:rsid w:val="7DF460B4"/>
    <w:rsid w:val="7F86039A"/>
    <w:rsid w:val="7FDE0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link w:val="23"/>
    <w:qFormat/>
    <w:uiPriority w:val="9"/>
    <w:pPr>
      <w:keepNext/>
      <w:keepLines/>
      <w:ind w:firstLine="0" w:firstLineChars="0"/>
      <w:jc w:val="center"/>
      <w:outlineLvl w:val="0"/>
    </w:pPr>
    <w:rPr>
      <w:rFonts w:eastAsia="方正小标宋_GBK"/>
      <w:kern w:val="44"/>
      <w:sz w:val="36"/>
    </w:rPr>
  </w:style>
  <w:style w:type="paragraph" w:styleId="4">
    <w:name w:val="heading 2"/>
    <w:basedOn w:val="1"/>
    <w:next w:val="1"/>
    <w:link w:val="21"/>
    <w:qFormat/>
    <w:uiPriority w:val="99"/>
    <w:pPr>
      <w:keepNext/>
      <w:outlineLvl w:val="1"/>
    </w:pPr>
    <w:rPr>
      <w:rFonts w:eastAsia="黑体" w:cs="Times New Roman"/>
      <w:bCs/>
      <w:iCs/>
      <w:szCs w:val="21"/>
    </w:rPr>
  </w:style>
  <w:style w:type="paragraph" w:styleId="2">
    <w:name w:val="heading 3"/>
    <w:basedOn w:val="1"/>
    <w:next w:val="1"/>
    <w:link w:val="22"/>
    <w:unhideWhenUsed/>
    <w:qFormat/>
    <w:uiPriority w:val="9"/>
    <w:pPr>
      <w:keepNext/>
      <w:keepLines/>
      <w:outlineLvl w:val="2"/>
    </w:pPr>
    <w:rPr>
      <w:rFonts w:eastAsia="楷体_GB2312"/>
      <w:b/>
    </w:rPr>
  </w:style>
  <w:style w:type="paragraph" w:styleId="5">
    <w:name w:val="heading 4"/>
    <w:basedOn w:val="1"/>
    <w:next w:val="1"/>
    <w:unhideWhenUsed/>
    <w:qFormat/>
    <w:uiPriority w:val="9"/>
    <w:pPr>
      <w:keepNext/>
      <w:keepLines/>
      <w:spacing w:line="372" w:lineRule="auto"/>
      <w:outlineLvl w:val="3"/>
    </w:pPr>
    <w:rPr>
      <w:rFonts w:ascii="Arial" w:hAnsi="Arial" w:eastAsia="黑体"/>
      <w:b/>
      <w:sz w:val="28"/>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6">
    <w:name w:val="annotation text"/>
    <w:basedOn w:val="1"/>
    <w:unhideWhenUsed/>
    <w:qFormat/>
    <w:uiPriority w:val="99"/>
    <w:pPr>
      <w:jc w:val="left"/>
    </w:pPr>
  </w:style>
  <w:style w:type="paragraph" w:styleId="7">
    <w:name w:val="Body Text"/>
    <w:basedOn w:val="1"/>
    <w:qFormat/>
    <w:uiPriority w:val="0"/>
    <w:pPr>
      <w:spacing w:after="120"/>
    </w:pPr>
    <w:rPr>
      <w:rFonts w:ascii="宋体"/>
      <w:snapToGrid w:val="0"/>
      <w:sz w:val="28"/>
      <w:szCs w:val="20"/>
    </w:rPr>
  </w:style>
  <w:style w:type="paragraph" w:styleId="8">
    <w:name w:val="Plain Text"/>
    <w:basedOn w:val="1"/>
    <w:next w:val="9"/>
    <w:qFormat/>
    <w:uiPriority w:val="0"/>
    <w:pPr>
      <w:widowControl w:val="0"/>
      <w:jc w:val="both"/>
    </w:pPr>
    <w:rPr>
      <w:rFonts w:ascii="宋体" w:cs="Courier New"/>
      <w:kern w:val="2"/>
      <w:sz w:val="21"/>
      <w:szCs w:val="21"/>
      <w:lang w:val="en-US" w:eastAsia="zh-CN" w:bidi="ar-SA"/>
    </w:rPr>
  </w:style>
  <w:style w:type="paragraph" w:styleId="9">
    <w:name w:val="toc 2"/>
    <w:basedOn w:val="1"/>
    <w:next w:val="1"/>
    <w:semiHidden/>
    <w:qFormat/>
    <w:uiPriority w:val="0"/>
    <w:pPr>
      <w:ind w:left="420" w:leftChars="200"/>
    </w:pPr>
  </w:style>
  <w:style w:type="paragraph" w:styleId="10">
    <w:name w:val="footer"/>
    <w:basedOn w:val="1"/>
    <w:link w:val="19"/>
    <w:unhideWhenUsed/>
    <w:qFormat/>
    <w:uiPriority w:val="99"/>
    <w:pPr>
      <w:tabs>
        <w:tab w:val="center" w:pos="4153"/>
        <w:tab w:val="right" w:pos="8306"/>
      </w:tabs>
      <w:snapToGrid w:val="0"/>
      <w:jc w:val="left"/>
    </w:pPr>
    <w:rPr>
      <w:sz w:val="18"/>
    </w:rPr>
  </w:style>
  <w:style w:type="paragraph" w:styleId="11">
    <w:name w:val="header"/>
    <w:basedOn w:val="1"/>
    <w:link w:val="20"/>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toc 1"/>
    <w:basedOn w:val="1"/>
    <w:next w:val="1"/>
    <w:unhideWhenUsed/>
    <w:qFormat/>
    <w:uiPriority w:val="39"/>
  </w:style>
  <w:style w:type="paragraph" w:styleId="1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6">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表格标题"/>
    <w:basedOn w:val="1"/>
    <w:next w:val="1"/>
    <w:qFormat/>
    <w:uiPriority w:val="0"/>
    <w:pPr>
      <w:keepNext/>
      <w:keepLines/>
      <w:ind w:firstLine="0" w:firstLineChars="0"/>
      <w:jc w:val="center"/>
      <w:outlineLvl w:val="0"/>
    </w:pPr>
    <w:rPr>
      <w:rFonts w:hint="eastAsia"/>
      <w:b/>
      <w:kern w:val="44"/>
    </w:rPr>
  </w:style>
  <w:style w:type="paragraph" w:customStyle="1" w:styleId="18">
    <w:name w:val="表格内容"/>
    <w:basedOn w:val="1"/>
    <w:next w:val="1"/>
    <w:qFormat/>
    <w:uiPriority w:val="0"/>
    <w:pPr>
      <w:keepNext/>
      <w:keepLines/>
      <w:spacing w:line="240" w:lineRule="auto"/>
      <w:ind w:firstLine="0" w:firstLineChars="0"/>
      <w:jc w:val="center"/>
      <w:outlineLvl w:val="0"/>
    </w:pPr>
    <w:rPr>
      <w:rFonts w:hint="eastAsia"/>
      <w:kern w:val="44"/>
      <w:sz w:val="21"/>
    </w:rPr>
  </w:style>
  <w:style w:type="character" w:customStyle="1" w:styleId="19">
    <w:name w:val="页脚 字符"/>
    <w:basedOn w:val="15"/>
    <w:link w:val="10"/>
    <w:semiHidden/>
    <w:qFormat/>
    <w:uiPriority w:val="99"/>
    <w:rPr>
      <w:rFonts w:eastAsia="仿宋_GB2312" w:cstheme="minorBidi"/>
      <w:kern w:val="2"/>
      <w:sz w:val="18"/>
      <w:szCs w:val="22"/>
    </w:rPr>
  </w:style>
  <w:style w:type="character" w:customStyle="1" w:styleId="20">
    <w:name w:val="页眉 字符"/>
    <w:basedOn w:val="15"/>
    <w:link w:val="11"/>
    <w:qFormat/>
    <w:uiPriority w:val="99"/>
    <w:rPr>
      <w:rFonts w:eastAsia="仿宋_GB2312" w:cstheme="minorBidi"/>
      <w:kern w:val="2"/>
      <w:sz w:val="18"/>
      <w:szCs w:val="22"/>
    </w:rPr>
  </w:style>
  <w:style w:type="character" w:customStyle="1" w:styleId="21">
    <w:name w:val="标题 2 字符"/>
    <w:basedOn w:val="15"/>
    <w:link w:val="4"/>
    <w:qFormat/>
    <w:uiPriority w:val="99"/>
    <w:rPr>
      <w:rFonts w:eastAsia="黑体"/>
      <w:bCs/>
      <w:iCs/>
      <w:kern w:val="2"/>
      <w:sz w:val="32"/>
      <w:szCs w:val="21"/>
    </w:rPr>
  </w:style>
  <w:style w:type="character" w:customStyle="1" w:styleId="22">
    <w:name w:val="标题 3 字符"/>
    <w:link w:val="2"/>
    <w:qFormat/>
    <w:uiPriority w:val="9"/>
    <w:rPr>
      <w:rFonts w:eastAsia="楷体_GB2312" w:cstheme="minorBidi"/>
      <w:b/>
      <w:kern w:val="2"/>
      <w:sz w:val="32"/>
      <w:szCs w:val="22"/>
    </w:rPr>
  </w:style>
  <w:style w:type="character" w:customStyle="1" w:styleId="23">
    <w:name w:val="标题 1 字符"/>
    <w:basedOn w:val="15"/>
    <w:link w:val="3"/>
    <w:qFormat/>
    <w:uiPriority w:val="9"/>
    <w:rPr>
      <w:rFonts w:eastAsia="方正小标宋_GBK" w:cstheme="minorBidi"/>
      <w:kern w:val="44"/>
      <w:sz w:val="36"/>
      <w:szCs w:val="22"/>
    </w:rPr>
  </w:style>
  <w:style w:type="paragraph" w:customStyle="1" w:styleId="24">
    <w:name w:val="_Style 1"/>
    <w:basedOn w:val="1"/>
    <w:qFormat/>
    <w:uiPriority w:val="0"/>
    <w:pPr>
      <w:ind w:firstLine="420" w:firstLineChars="200"/>
    </w:p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17F14B-631F-41B2-B6AC-0DB1478980A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31</Pages>
  <Words>13320</Words>
  <Characters>14106</Characters>
  <Lines>1</Lines>
  <Paragraphs>1</Paragraphs>
  <TotalTime>0</TotalTime>
  <ScaleCrop>false</ScaleCrop>
  <LinksUpToDate>false</LinksUpToDate>
  <CharactersWithSpaces>14127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2020-05-25T09:48:00Z</dcterms:created>
  <dc:creator>Administrator</dc:creator>
  <cp:lastModifiedBy>Administrator</cp:lastModifiedBy>
  <cp:lastPrinted>2023-05-27T08:13:00Z</cp:lastPrinted>
  <dcterms:modified xsi:type="dcterms:W3CDTF">2024-08-15T02:55:51Z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5847B5287B15469F8A81E68496E260EF_13</vt:lpwstr>
  </property>
</Properties>
</file>