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color w:val="auto"/>
        </w:rPr>
      </w:pPr>
    </w:p>
    <w:p>
      <w:pPr>
        <w:bidi w:val="0"/>
        <w:rPr>
          <w:color w:val="auto"/>
        </w:rPr>
      </w:pPr>
    </w:p>
    <w:p>
      <w:pPr>
        <w:bidi w:val="0"/>
        <w:rPr>
          <w:color w:val="auto"/>
        </w:rPr>
      </w:pPr>
    </w:p>
    <w:p>
      <w:pPr>
        <w:bidi w:val="0"/>
        <w:rPr>
          <w:color w:val="auto"/>
        </w:rPr>
      </w:pPr>
    </w:p>
    <w:p>
      <w:pPr>
        <w:bidi w:val="0"/>
        <w:rPr>
          <w:color w:val="auto"/>
        </w:rPr>
      </w:pPr>
    </w:p>
    <w:p>
      <w:pPr>
        <w:pStyle w:val="3"/>
        <w:bidi w:val="0"/>
        <w:rPr>
          <w:color w:val="auto"/>
          <w:sz w:val="44"/>
          <w:szCs w:val="44"/>
          <w:highlight w:val="none"/>
        </w:rPr>
      </w:pPr>
      <w:r>
        <w:rPr>
          <w:color w:val="auto"/>
          <w:sz w:val="44"/>
          <w:szCs w:val="44"/>
          <w:highlight w:val="none"/>
        </w:rPr>
        <w:t>项目支出绩效评价报告</w:t>
      </w:r>
    </w:p>
    <w:p>
      <w:pPr>
        <w:ind w:firstLine="640"/>
        <w:rPr>
          <w:color w:val="auto"/>
          <w:highlight w:val="none"/>
        </w:rPr>
      </w:pPr>
    </w:p>
    <w:p>
      <w:pPr>
        <w:ind w:firstLine="640"/>
        <w:rPr>
          <w:color w:val="auto"/>
          <w:highlight w:val="none"/>
        </w:rPr>
      </w:pPr>
    </w:p>
    <w:p>
      <w:pPr>
        <w:pStyle w:val="13"/>
        <w:bidi w:val="0"/>
        <w:rPr>
          <w:color w:val="auto"/>
          <w:sz w:val="28"/>
          <w:szCs w:val="28"/>
          <w:highlight w:val="none"/>
        </w:rPr>
      </w:pPr>
      <w:r>
        <w:rPr>
          <w:color w:val="auto"/>
          <w:sz w:val="28"/>
          <w:szCs w:val="28"/>
          <w:highlight w:val="none"/>
        </w:rPr>
        <w:t>（202</w:t>
      </w:r>
      <w:r>
        <w:rPr>
          <w:rFonts w:hint="eastAsia"/>
          <w:color w:val="auto"/>
          <w:sz w:val="28"/>
          <w:szCs w:val="28"/>
          <w:highlight w:val="none"/>
          <w:lang w:val="en-US" w:eastAsia="zh-CN"/>
        </w:rPr>
        <w:t>3</w:t>
      </w:r>
      <w:r>
        <w:rPr>
          <w:color w:val="auto"/>
          <w:sz w:val="28"/>
          <w:szCs w:val="28"/>
          <w:highlight w:val="none"/>
        </w:rPr>
        <w:t>年度）</w:t>
      </w:r>
    </w:p>
    <w:p>
      <w:pPr>
        <w:ind w:firstLine="640"/>
        <w:rPr>
          <w:color w:val="auto"/>
          <w:highlight w:val="none"/>
        </w:rPr>
      </w:pPr>
    </w:p>
    <w:p>
      <w:pPr>
        <w:ind w:firstLine="640"/>
        <w:rPr>
          <w:color w:val="auto"/>
          <w:highlight w:val="none"/>
        </w:rPr>
      </w:pPr>
    </w:p>
    <w:p>
      <w:pPr>
        <w:ind w:firstLine="640"/>
        <w:rPr>
          <w:color w:val="auto"/>
          <w:highlight w:val="none"/>
        </w:rPr>
      </w:pPr>
    </w:p>
    <w:p>
      <w:pPr>
        <w:bidi w:val="0"/>
        <w:rPr>
          <w:color w:val="auto"/>
          <w:highlight w:val="none"/>
        </w:rPr>
      </w:pPr>
    </w:p>
    <w:p>
      <w:pPr>
        <w:bidi w:val="0"/>
        <w:rPr>
          <w:color w:val="auto"/>
          <w:highlight w:val="none"/>
        </w:rPr>
      </w:pPr>
    </w:p>
    <w:p>
      <w:pPr>
        <w:bidi w:val="0"/>
        <w:rPr>
          <w:rFonts w:hint="eastAsia" w:eastAsia="仿宋_GB2312"/>
          <w:color w:val="auto"/>
          <w:highlight w:val="none"/>
          <w:lang w:val="en-US" w:eastAsia="zh-CN"/>
        </w:rPr>
      </w:pPr>
      <w:r>
        <w:rPr>
          <w:color w:val="auto"/>
          <w:highlight w:val="none"/>
        </w:rPr>
        <w:t>项目名称：</w:t>
      </w:r>
      <w:r>
        <w:rPr>
          <w:rFonts w:hint="eastAsia"/>
          <w:color w:val="auto"/>
          <w:highlight w:val="none"/>
          <w:lang w:eastAsia="zh-CN"/>
        </w:rPr>
        <w:t>2023年阿克苏普乡供热技术提升改造项目</w:t>
      </w:r>
    </w:p>
    <w:p>
      <w:pPr>
        <w:bidi w:val="0"/>
        <w:rPr>
          <w:rFonts w:hint="default"/>
          <w:color w:val="auto"/>
          <w:highlight w:val="none"/>
          <w:lang w:val="en-US"/>
        </w:rPr>
      </w:pPr>
      <w:r>
        <w:rPr>
          <w:color w:val="auto"/>
          <w:highlight w:val="none"/>
        </w:rPr>
        <w:t>实施单位（公章）：</w:t>
      </w:r>
      <w:r>
        <w:rPr>
          <w:rFonts w:hint="eastAsia"/>
          <w:color w:val="auto"/>
          <w:highlight w:val="none"/>
          <w:lang w:val="en-US" w:eastAsia="zh-CN"/>
        </w:rPr>
        <w:t>尉犁县阿克苏普乡人民政府</w:t>
      </w:r>
    </w:p>
    <w:p>
      <w:pPr>
        <w:bidi w:val="0"/>
        <w:rPr>
          <w:color w:val="auto"/>
          <w:highlight w:val="none"/>
        </w:rPr>
      </w:pPr>
      <w:r>
        <w:rPr>
          <w:color w:val="auto"/>
          <w:highlight w:val="none"/>
        </w:rPr>
        <w:t>主管部门（公章）：</w:t>
      </w:r>
      <w:r>
        <w:rPr>
          <w:rFonts w:hint="eastAsia"/>
          <w:color w:val="auto"/>
          <w:highlight w:val="none"/>
          <w:lang w:val="en-US" w:eastAsia="zh-CN"/>
        </w:rPr>
        <w:t>尉犁县阿克苏普乡人民政府</w:t>
      </w:r>
    </w:p>
    <w:p>
      <w:pPr>
        <w:bidi w:val="0"/>
        <w:rPr>
          <w:color w:val="auto"/>
          <w:highlight w:val="none"/>
        </w:rPr>
      </w:pPr>
      <w:r>
        <w:rPr>
          <w:color w:val="auto"/>
          <w:highlight w:val="none"/>
        </w:rPr>
        <w:t>项目负责人（签章）：</w:t>
      </w:r>
      <w:r>
        <w:rPr>
          <w:rFonts w:hint="eastAsia"/>
          <w:color w:val="auto"/>
          <w:highlight w:val="none"/>
          <w:lang w:val="en-US" w:eastAsia="zh-CN"/>
        </w:rPr>
        <w:t>曾祥林</w:t>
      </w:r>
    </w:p>
    <w:p>
      <w:pPr>
        <w:bidi w:val="0"/>
        <w:rPr>
          <w:color w:val="auto"/>
          <w:highlight w:val="none"/>
        </w:rPr>
      </w:pPr>
      <w:r>
        <w:rPr>
          <w:color w:val="auto"/>
          <w:highlight w:val="none"/>
        </w:rPr>
        <w:t>填报时间：</w:t>
      </w:r>
      <w:r>
        <w:rPr>
          <w:rFonts w:hint="eastAsia"/>
          <w:color w:val="auto"/>
          <w:highlight w:val="none"/>
          <w:lang w:val="en-US" w:eastAsia="zh-CN"/>
        </w:rPr>
        <w:t>2024</w:t>
      </w:r>
      <w:r>
        <w:rPr>
          <w:color w:val="auto"/>
          <w:highlight w:val="none"/>
        </w:rPr>
        <w:t>年</w:t>
      </w:r>
      <w:r>
        <w:rPr>
          <w:rFonts w:hint="eastAsia"/>
          <w:color w:val="auto"/>
          <w:highlight w:val="none"/>
          <w:lang w:val="en-US" w:eastAsia="zh-CN"/>
        </w:rPr>
        <w:t>3</w:t>
      </w:r>
      <w:r>
        <w:rPr>
          <w:color w:val="auto"/>
          <w:highlight w:val="none"/>
        </w:rPr>
        <w:t>月</w:t>
      </w:r>
      <w:r>
        <w:rPr>
          <w:rFonts w:hint="eastAsia"/>
          <w:color w:val="auto"/>
          <w:highlight w:val="none"/>
          <w:lang w:val="en-US" w:eastAsia="zh-CN"/>
        </w:rPr>
        <w:t>14</w:t>
      </w:r>
      <w:r>
        <w:rPr>
          <w:color w:val="auto"/>
          <w:highlight w:val="none"/>
        </w:rPr>
        <w:t>日</w:t>
      </w:r>
    </w:p>
    <w:p>
      <w:pPr>
        <w:ind w:firstLine="620"/>
        <w:rPr>
          <w:rFonts w:eastAsia="方正仿宋_GBK"/>
          <w:color w:val="auto"/>
          <w:sz w:val="31"/>
          <w:szCs w:val="31"/>
          <w:highlight w:val="none"/>
        </w:rPr>
      </w:pPr>
      <w:r>
        <w:rPr>
          <w:rFonts w:eastAsia="方正仿宋_GBK"/>
          <w:color w:val="auto"/>
          <w:sz w:val="31"/>
          <w:szCs w:val="31"/>
          <w:highlight w:val="none"/>
        </w:rPr>
        <w:br w:type="page"/>
      </w:r>
    </w:p>
    <w:p>
      <w:pPr>
        <w:ind w:firstLine="883"/>
        <w:jc w:val="center"/>
        <w:rPr>
          <w:b/>
          <w:bCs/>
          <w:color w:val="auto"/>
          <w:sz w:val="44"/>
          <w:szCs w:val="44"/>
          <w:highlight w:val="none"/>
        </w:rPr>
      </w:pPr>
      <w:r>
        <w:rPr>
          <w:b/>
          <w:bCs/>
          <w:color w:val="auto"/>
          <w:sz w:val="44"/>
          <w:szCs w:val="44"/>
          <w:highlight w:val="none"/>
        </w:rPr>
        <w:t>目  录</w:t>
      </w:r>
    </w:p>
    <w:p>
      <w:pPr>
        <w:ind w:firstLine="640"/>
        <w:rPr>
          <w:color w:val="auto"/>
          <w:highlight w:val="none"/>
        </w:rPr>
      </w:pPr>
    </w:p>
    <w:p>
      <w:pPr>
        <w:tabs>
          <w:tab w:val="right" w:leader="dot" w:pos="8306"/>
        </w:tabs>
        <w:ind w:firstLine="883"/>
        <w:rPr>
          <w:color w:val="auto"/>
          <w:highlight w:val="none"/>
        </w:rPr>
      </w:pPr>
      <w:r>
        <w:rPr>
          <w:rFonts w:eastAsia="黑体"/>
          <w:b/>
          <w:bCs/>
          <w:color w:val="auto"/>
          <w:sz w:val="44"/>
          <w:szCs w:val="44"/>
          <w:highlight w:val="none"/>
        </w:rPr>
        <w:fldChar w:fldCharType="begin"/>
      </w:r>
      <w:r>
        <w:rPr>
          <w:rFonts w:eastAsia="黑体"/>
          <w:b/>
          <w:bCs/>
          <w:color w:val="auto"/>
          <w:sz w:val="44"/>
          <w:szCs w:val="44"/>
          <w:highlight w:val="none"/>
        </w:rPr>
        <w:instrText xml:space="preserve">TOC \o "1-2" \h \u </w:instrText>
      </w:r>
      <w:r>
        <w:rPr>
          <w:rFonts w:eastAsia="黑体"/>
          <w:b/>
          <w:bCs/>
          <w:color w:val="auto"/>
          <w:sz w:val="44"/>
          <w:szCs w:val="44"/>
          <w:highlight w:val="none"/>
        </w:rPr>
        <w:fldChar w:fldCharType="separate"/>
      </w:r>
      <w:r>
        <w:rPr>
          <w:color w:val="auto"/>
          <w:highlight w:val="none"/>
        </w:rPr>
        <w:fldChar w:fldCharType="begin"/>
      </w:r>
      <w:r>
        <w:rPr>
          <w:color w:val="auto"/>
          <w:highlight w:val="none"/>
        </w:rPr>
        <w:instrText xml:space="preserve"> HYPERLINK \l "_Toc25620" </w:instrText>
      </w:r>
      <w:r>
        <w:rPr>
          <w:color w:val="auto"/>
          <w:highlight w:val="none"/>
        </w:rPr>
        <w:fldChar w:fldCharType="separate"/>
      </w:r>
      <w:r>
        <w:rPr>
          <w:color w:val="auto"/>
          <w:highlight w:val="none"/>
        </w:rPr>
        <w:t>一、基本情况</w:t>
      </w:r>
      <w:r>
        <w:rPr>
          <w:color w:val="auto"/>
          <w:highlight w:val="none"/>
        </w:rPr>
        <w:tab/>
      </w:r>
      <w:r>
        <w:rPr>
          <w:color w:val="auto"/>
          <w:highlight w:val="none"/>
        </w:rPr>
        <w:fldChar w:fldCharType="begin"/>
      </w:r>
      <w:r>
        <w:rPr>
          <w:color w:val="auto"/>
          <w:highlight w:val="none"/>
        </w:rPr>
        <w:instrText xml:space="preserve"> PAGEREF _Toc25620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"_Toc8971" </w:instrText>
      </w:r>
      <w:r>
        <w:rPr>
          <w:color w:val="auto"/>
          <w:highlight w:val="none"/>
        </w:rPr>
        <w:fldChar w:fldCharType="separate"/>
      </w:r>
      <w:r>
        <w:rPr>
          <w:color w:val="auto"/>
          <w:highlight w:val="none"/>
        </w:rPr>
        <w:t>（一）项目概况</w:t>
      </w:r>
      <w:r>
        <w:rPr>
          <w:color w:val="auto"/>
          <w:highlight w:val="none"/>
        </w:rPr>
        <w:tab/>
      </w:r>
      <w:r>
        <w:rPr>
          <w:color w:val="auto"/>
          <w:highlight w:val="none"/>
        </w:rPr>
        <w:fldChar w:fldCharType="begin"/>
      </w:r>
      <w:r>
        <w:rPr>
          <w:color w:val="auto"/>
          <w:highlight w:val="none"/>
        </w:rPr>
        <w:instrText xml:space="preserve"> PAGEREF _Toc8971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"_Toc25187" </w:instrText>
      </w:r>
      <w:r>
        <w:rPr>
          <w:color w:val="auto"/>
          <w:highlight w:val="none"/>
        </w:rPr>
        <w:fldChar w:fldCharType="separate"/>
      </w:r>
      <w:r>
        <w:rPr>
          <w:color w:val="auto"/>
          <w:highlight w:val="none"/>
        </w:rPr>
        <w:t>（二）项目绩效目标</w:t>
      </w:r>
      <w:r>
        <w:rPr>
          <w:color w:val="auto"/>
          <w:highlight w:val="none"/>
        </w:rPr>
        <w:tab/>
      </w:r>
      <w:r>
        <w:rPr>
          <w:color w:val="auto"/>
          <w:highlight w:val="none"/>
        </w:rPr>
        <w:fldChar w:fldCharType="begin"/>
      </w:r>
      <w:r>
        <w:rPr>
          <w:color w:val="auto"/>
          <w:highlight w:val="none"/>
        </w:rPr>
        <w:instrText xml:space="preserve"> PAGEREF _Toc25187 \h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"_Toc28824" </w:instrText>
      </w:r>
      <w:r>
        <w:rPr>
          <w:color w:val="auto"/>
          <w:highlight w:val="none"/>
        </w:rPr>
        <w:fldChar w:fldCharType="separate"/>
      </w:r>
      <w:r>
        <w:rPr>
          <w:rFonts w:hint="eastAsia"/>
          <w:color w:val="auto"/>
          <w:highlight w:val="none"/>
        </w:rPr>
        <w:t>二、绩效评价工作开展情况</w:t>
      </w:r>
      <w:r>
        <w:rPr>
          <w:color w:val="auto"/>
          <w:highlight w:val="none"/>
        </w:rPr>
        <w:tab/>
      </w:r>
      <w:r>
        <w:rPr>
          <w:color w:val="auto"/>
          <w:highlight w:val="none"/>
        </w:rPr>
        <w:fldChar w:fldCharType="begin"/>
      </w:r>
      <w:r>
        <w:rPr>
          <w:color w:val="auto"/>
          <w:highlight w:val="none"/>
        </w:rPr>
        <w:instrText xml:space="preserve"> PAGEREF _Toc28824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"_Toc24175" </w:instrText>
      </w:r>
      <w:r>
        <w:rPr>
          <w:color w:val="auto"/>
          <w:highlight w:val="none"/>
        </w:rPr>
        <w:fldChar w:fldCharType="separate"/>
      </w:r>
      <w:r>
        <w:rPr>
          <w:rFonts w:hint="eastAsia"/>
          <w:color w:val="auto"/>
          <w:highlight w:val="none"/>
        </w:rPr>
        <w:t>（一）绩效评价目的、对象和范围</w:t>
      </w:r>
      <w:r>
        <w:rPr>
          <w:color w:val="auto"/>
          <w:highlight w:val="none"/>
        </w:rPr>
        <w:tab/>
      </w:r>
      <w:r>
        <w:rPr>
          <w:color w:val="auto"/>
          <w:highlight w:val="none"/>
        </w:rPr>
        <w:fldChar w:fldCharType="begin"/>
      </w:r>
      <w:r>
        <w:rPr>
          <w:color w:val="auto"/>
          <w:highlight w:val="none"/>
        </w:rPr>
        <w:instrText xml:space="preserve"> PAGEREF _Toc24175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"_Toc5109" </w:instrText>
      </w:r>
      <w:r>
        <w:rPr>
          <w:color w:val="auto"/>
          <w:highlight w:val="none"/>
        </w:rPr>
        <w:fldChar w:fldCharType="separate"/>
      </w:r>
      <w:r>
        <w:rPr>
          <w:rFonts w:hint="eastAsia"/>
          <w:color w:val="auto"/>
          <w:highlight w:val="none"/>
        </w:rPr>
        <w:t>（二）绩效评价原则、评价指标体系、评价方法、评价标准</w:t>
      </w:r>
      <w:r>
        <w:rPr>
          <w:color w:val="auto"/>
          <w:highlight w:val="none"/>
        </w:rPr>
        <w:tab/>
      </w:r>
      <w:r>
        <w:rPr>
          <w:color w:val="auto"/>
          <w:highlight w:val="none"/>
        </w:rPr>
        <w:fldChar w:fldCharType="begin"/>
      </w:r>
      <w:r>
        <w:rPr>
          <w:color w:val="auto"/>
          <w:highlight w:val="none"/>
        </w:rPr>
        <w:instrText xml:space="preserve"> PAGEREF _Toc5109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"_Toc23796" </w:instrText>
      </w:r>
      <w:r>
        <w:rPr>
          <w:color w:val="auto"/>
          <w:highlight w:val="none"/>
        </w:rPr>
        <w:fldChar w:fldCharType="separate"/>
      </w:r>
      <w:r>
        <w:rPr>
          <w:rFonts w:hint="eastAsia"/>
          <w:color w:val="auto"/>
          <w:highlight w:val="none"/>
        </w:rPr>
        <w:t>（三）绩效评价工作过程</w:t>
      </w:r>
      <w:r>
        <w:rPr>
          <w:color w:val="auto"/>
          <w:highlight w:val="none"/>
        </w:rPr>
        <w:tab/>
      </w:r>
      <w:r>
        <w:rPr>
          <w:color w:val="auto"/>
          <w:highlight w:val="none"/>
        </w:rPr>
        <w:fldChar w:fldCharType="begin"/>
      </w:r>
      <w:r>
        <w:rPr>
          <w:color w:val="auto"/>
          <w:highlight w:val="none"/>
        </w:rPr>
        <w:instrText xml:space="preserve"> PAGEREF _Toc23796 \h </w:instrText>
      </w:r>
      <w:r>
        <w:rPr>
          <w:color w:val="auto"/>
          <w:highlight w:val="none"/>
        </w:rPr>
        <w:fldChar w:fldCharType="separate"/>
      </w:r>
      <w:r>
        <w:rPr>
          <w:color w:val="auto"/>
          <w:highlight w:val="none"/>
        </w:rPr>
        <w:t>8</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"_Toc20784" </w:instrText>
      </w:r>
      <w:r>
        <w:rPr>
          <w:color w:val="auto"/>
          <w:highlight w:val="none"/>
        </w:rPr>
        <w:fldChar w:fldCharType="separate"/>
      </w:r>
      <w:r>
        <w:rPr>
          <w:rFonts w:hint="eastAsia"/>
          <w:color w:val="auto"/>
          <w:highlight w:val="none"/>
        </w:rPr>
        <w:t>三、综合评价情况及评价结论</w:t>
      </w:r>
      <w:r>
        <w:rPr>
          <w:color w:val="auto"/>
          <w:highlight w:val="none"/>
        </w:rPr>
        <w:tab/>
      </w:r>
      <w:r>
        <w:rPr>
          <w:color w:val="auto"/>
          <w:highlight w:val="none"/>
        </w:rPr>
        <w:fldChar w:fldCharType="begin"/>
      </w:r>
      <w:r>
        <w:rPr>
          <w:color w:val="auto"/>
          <w:highlight w:val="none"/>
        </w:rPr>
        <w:instrText xml:space="preserve"> PAGEREF _Toc20784 \h </w:instrText>
      </w:r>
      <w:r>
        <w:rPr>
          <w:color w:val="auto"/>
          <w:highlight w:val="none"/>
        </w:rPr>
        <w:fldChar w:fldCharType="separate"/>
      </w:r>
      <w:r>
        <w:rPr>
          <w:color w:val="auto"/>
          <w:highlight w:val="none"/>
        </w:rPr>
        <w:t>10</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"_Toc8960" </w:instrText>
      </w:r>
      <w:r>
        <w:rPr>
          <w:color w:val="auto"/>
          <w:highlight w:val="none"/>
        </w:rPr>
        <w:fldChar w:fldCharType="separate"/>
      </w:r>
      <w:r>
        <w:rPr>
          <w:rFonts w:hint="eastAsia"/>
          <w:color w:val="auto"/>
          <w:highlight w:val="none"/>
        </w:rPr>
        <w:t>四、绩效评价指标分析</w:t>
      </w:r>
      <w:r>
        <w:rPr>
          <w:color w:val="auto"/>
          <w:highlight w:val="none"/>
        </w:rPr>
        <w:tab/>
      </w:r>
      <w:r>
        <w:rPr>
          <w:color w:val="auto"/>
          <w:highlight w:val="none"/>
        </w:rPr>
        <w:fldChar w:fldCharType="begin"/>
      </w:r>
      <w:r>
        <w:rPr>
          <w:color w:val="auto"/>
          <w:highlight w:val="none"/>
        </w:rPr>
        <w:instrText xml:space="preserve"> PAGEREF _Toc8960 \h </w:instrText>
      </w:r>
      <w:r>
        <w:rPr>
          <w:color w:val="auto"/>
          <w:highlight w:val="none"/>
        </w:rPr>
        <w:fldChar w:fldCharType="separate"/>
      </w:r>
      <w:r>
        <w:rPr>
          <w:color w:val="auto"/>
          <w:highlight w:val="none"/>
        </w:rPr>
        <w:t>10</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"_Toc3445" </w:instrText>
      </w:r>
      <w:r>
        <w:rPr>
          <w:color w:val="auto"/>
          <w:highlight w:val="none"/>
        </w:rPr>
        <w:fldChar w:fldCharType="separate"/>
      </w:r>
      <w:r>
        <w:rPr>
          <w:rFonts w:hint="eastAsia"/>
          <w:color w:val="auto"/>
          <w:highlight w:val="none"/>
        </w:rPr>
        <w:t>（一）项目决策情况</w:t>
      </w:r>
      <w:r>
        <w:rPr>
          <w:color w:val="auto"/>
          <w:highlight w:val="none"/>
        </w:rPr>
        <w:tab/>
      </w:r>
      <w:r>
        <w:rPr>
          <w:color w:val="auto"/>
          <w:highlight w:val="none"/>
        </w:rPr>
        <w:fldChar w:fldCharType="begin"/>
      </w:r>
      <w:r>
        <w:rPr>
          <w:color w:val="auto"/>
          <w:highlight w:val="none"/>
        </w:rPr>
        <w:instrText xml:space="preserve"> PAGEREF _Toc3445 \h </w:instrText>
      </w:r>
      <w:r>
        <w:rPr>
          <w:color w:val="auto"/>
          <w:highlight w:val="none"/>
        </w:rPr>
        <w:fldChar w:fldCharType="separate"/>
      </w:r>
      <w:r>
        <w:rPr>
          <w:color w:val="auto"/>
          <w:highlight w:val="none"/>
        </w:rPr>
        <w:t>10</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"_Toc11290" </w:instrText>
      </w:r>
      <w:r>
        <w:rPr>
          <w:color w:val="auto"/>
          <w:highlight w:val="none"/>
        </w:rPr>
        <w:fldChar w:fldCharType="separate"/>
      </w:r>
      <w:r>
        <w:rPr>
          <w:rFonts w:hint="eastAsia"/>
          <w:color w:val="auto"/>
          <w:highlight w:val="none"/>
        </w:rPr>
        <w:t>（二）项目过程情况</w:t>
      </w:r>
      <w:r>
        <w:rPr>
          <w:color w:val="auto"/>
          <w:highlight w:val="none"/>
        </w:rPr>
        <w:tab/>
      </w:r>
      <w:r>
        <w:rPr>
          <w:color w:val="auto"/>
          <w:highlight w:val="none"/>
        </w:rPr>
        <w:fldChar w:fldCharType="begin"/>
      </w:r>
      <w:r>
        <w:rPr>
          <w:color w:val="auto"/>
          <w:highlight w:val="none"/>
        </w:rPr>
        <w:instrText xml:space="preserve"> PAGEREF _Toc11290 \h </w:instrText>
      </w:r>
      <w:r>
        <w:rPr>
          <w:color w:val="auto"/>
          <w:highlight w:val="none"/>
        </w:rPr>
        <w:fldChar w:fldCharType="separate"/>
      </w:r>
      <w:r>
        <w:rPr>
          <w:color w:val="auto"/>
          <w:highlight w:val="none"/>
        </w:rPr>
        <w:t>12</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"_Toc32013" </w:instrText>
      </w:r>
      <w:r>
        <w:rPr>
          <w:color w:val="auto"/>
          <w:highlight w:val="none"/>
        </w:rPr>
        <w:fldChar w:fldCharType="separate"/>
      </w:r>
      <w:r>
        <w:rPr>
          <w:rFonts w:hint="eastAsia"/>
          <w:color w:val="auto"/>
          <w:highlight w:val="none"/>
        </w:rPr>
        <w:t>（三）项目产出情况</w:t>
      </w:r>
      <w:r>
        <w:rPr>
          <w:color w:val="auto"/>
          <w:highlight w:val="none"/>
        </w:rPr>
        <w:tab/>
      </w:r>
      <w:r>
        <w:rPr>
          <w:color w:val="auto"/>
          <w:highlight w:val="none"/>
        </w:rPr>
        <w:fldChar w:fldCharType="begin"/>
      </w:r>
      <w:r>
        <w:rPr>
          <w:color w:val="auto"/>
          <w:highlight w:val="none"/>
        </w:rPr>
        <w:instrText xml:space="preserve"> PAGEREF _Toc32013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"_Toc28354" </w:instrText>
      </w:r>
      <w:r>
        <w:rPr>
          <w:color w:val="auto"/>
          <w:highlight w:val="none"/>
        </w:rPr>
        <w:fldChar w:fldCharType="separate"/>
      </w:r>
      <w:r>
        <w:rPr>
          <w:rFonts w:hint="eastAsia"/>
          <w:color w:val="auto"/>
          <w:highlight w:val="none"/>
        </w:rPr>
        <w:t>（四）项目效益情况</w:t>
      </w:r>
      <w:r>
        <w:rPr>
          <w:color w:val="auto"/>
          <w:highlight w:val="none"/>
        </w:rPr>
        <w:tab/>
      </w:r>
      <w:r>
        <w:rPr>
          <w:color w:val="auto"/>
          <w:highlight w:val="none"/>
        </w:rPr>
        <w:fldChar w:fldCharType="begin"/>
      </w:r>
      <w:r>
        <w:rPr>
          <w:color w:val="auto"/>
          <w:highlight w:val="none"/>
        </w:rPr>
        <w:instrText xml:space="preserve"> PAGEREF _Toc28354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"_Toc27244" </w:instrText>
      </w:r>
      <w:r>
        <w:rPr>
          <w:color w:val="auto"/>
          <w:highlight w:val="none"/>
        </w:rPr>
        <w:fldChar w:fldCharType="separate"/>
      </w:r>
      <w:r>
        <w:rPr>
          <w:rFonts w:hint="eastAsia"/>
          <w:color w:val="auto"/>
          <w:highlight w:val="none"/>
        </w:rPr>
        <w:t>五、主要经验及做法、存在的问题及原因分析</w:t>
      </w:r>
      <w:r>
        <w:rPr>
          <w:color w:val="auto"/>
          <w:highlight w:val="none"/>
        </w:rPr>
        <w:tab/>
      </w:r>
      <w:r>
        <w:rPr>
          <w:color w:val="auto"/>
          <w:highlight w:val="none"/>
        </w:rPr>
        <w:fldChar w:fldCharType="begin"/>
      </w:r>
      <w:r>
        <w:rPr>
          <w:color w:val="auto"/>
          <w:highlight w:val="none"/>
        </w:rPr>
        <w:instrText xml:space="preserve"> PAGEREF _Toc27244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"_Toc18880" </w:instrText>
      </w:r>
      <w:r>
        <w:rPr>
          <w:color w:val="auto"/>
          <w:highlight w:val="none"/>
        </w:rPr>
        <w:fldChar w:fldCharType="separate"/>
      </w:r>
      <w:r>
        <w:rPr>
          <w:rFonts w:hint="eastAsia"/>
          <w:color w:val="auto"/>
          <w:highlight w:val="none"/>
        </w:rPr>
        <w:t>（一）主要经验及做法</w:t>
      </w:r>
      <w:r>
        <w:rPr>
          <w:color w:val="auto"/>
          <w:highlight w:val="none"/>
        </w:rPr>
        <w:tab/>
      </w:r>
      <w:r>
        <w:rPr>
          <w:color w:val="auto"/>
          <w:highlight w:val="none"/>
        </w:rPr>
        <w:fldChar w:fldCharType="begin"/>
      </w:r>
      <w:r>
        <w:rPr>
          <w:color w:val="auto"/>
          <w:highlight w:val="none"/>
        </w:rPr>
        <w:instrText xml:space="preserve"> PAGEREF _Toc18880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"_Toc9914" </w:instrText>
      </w:r>
      <w:r>
        <w:rPr>
          <w:color w:val="auto"/>
          <w:highlight w:val="none"/>
        </w:rPr>
        <w:fldChar w:fldCharType="separate"/>
      </w:r>
      <w:r>
        <w:rPr>
          <w:rFonts w:hint="eastAsia"/>
          <w:color w:val="auto"/>
          <w:highlight w:val="none"/>
        </w:rPr>
        <w:t>（二）存在问题及原因分析</w:t>
      </w:r>
      <w:r>
        <w:rPr>
          <w:color w:val="auto"/>
          <w:highlight w:val="none"/>
        </w:rPr>
        <w:tab/>
      </w:r>
      <w:r>
        <w:rPr>
          <w:color w:val="auto"/>
          <w:highlight w:val="none"/>
        </w:rPr>
        <w:fldChar w:fldCharType="begin"/>
      </w:r>
      <w:r>
        <w:rPr>
          <w:color w:val="auto"/>
          <w:highlight w:val="none"/>
        </w:rPr>
        <w:instrText xml:space="preserve"> PAGEREF _Toc9914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"_Toc2334" </w:instrText>
      </w:r>
      <w:r>
        <w:rPr>
          <w:color w:val="auto"/>
          <w:highlight w:val="none"/>
        </w:rPr>
        <w:fldChar w:fldCharType="separate"/>
      </w:r>
      <w:r>
        <w:rPr>
          <w:rFonts w:hint="eastAsia"/>
          <w:color w:val="auto"/>
          <w:highlight w:val="none"/>
        </w:rPr>
        <w:t>六、有关建议</w:t>
      </w:r>
      <w:r>
        <w:rPr>
          <w:color w:val="auto"/>
          <w:highlight w:val="none"/>
        </w:rPr>
        <w:tab/>
      </w:r>
      <w:r>
        <w:rPr>
          <w:color w:val="auto"/>
          <w:highlight w:val="none"/>
        </w:rPr>
        <w:fldChar w:fldCharType="begin"/>
      </w:r>
      <w:r>
        <w:rPr>
          <w:color w:val="auto"/>
          <w:highlight w:val="none"/>
        </w:rPr>
        <w:instrText xml:space="preserve"> PAGEREF _Toc2334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"_Toc30571" </w:instrText>
      </w:r>
      <w:r>
        <w:rPr>
          <w:color w:val="auto"/>
          <w:highlight w:val="none"/>
        </w:rPr>
        <w:fldChar w:fldCharType="separate"/>
      </w:r>
      <w:r>
        <w:rPr>
          <w:rFonts w:hint="eastAsia"/>
          <w:color w:val="auto"/>
          <w:highlight w:val="none"/>
        </w:rPr>
        <w:t>七、其他需要说明的问题</w:t>
      </w:r>
      <w:r>
        <w:rPr>
          <w:color w:val="auto"/>
          <w:highlight w:val="none"/>
        </w:rPr>
        <w:tab/>
      </w:r>
      <w:r>
        <w:rPr>
          <w:color w:val="auto"/>
          <w:highlight w:val="none"/>
        </w:rPr>
        <w:fldChar w:fldCharType="begin"/>
      </w:r>
      <w:r>
        <w:rPr>
          <w:color w:val="auto"/>
          <w:highlight w:val="none"/>
        </w:rPr>
        <w:instrText xml:space="preserve"> PAGEREF _Toc30571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"_Toc10180" </w:instrText>
      </w:r>
      <w:r>
        <w:rPr>
          <w:color w:val="auto"/>
          <w:highlight w:val="none"/>
        </w:rPr>
        <w:fldChar w:fldCharType="separate"/>
      </w:r>
      <w:r>
        <w:rPr>
          <w:rFonts w:hint="eastAsia"/>
          <w:color w:val="auto"/>
          <w:highlight w:val="none"/>
        </w:rPr>
        <w:t>八、相关附件</w:t>
      </w:r>
      <w:r>
        <w:rPr>
          <w:color w:val="auto"/>
          <w:highlight w:val="none"/>
        </w:rPr>
        <w:tab/>
      </w:r>
      <w:r>
        <w:rPr>
          <w:color w:val="auto"/>
          <w:highlight w:val="none"/>
        </w:rPr>
        <w:fldChar w:fldCharType="begin"/>
      </w:r>
      <w:r>
        <w:rPr>
          <w:color w:val="auto"/>
          <w:highlight w:val="none"/>
        </w:rPr>
        <w:instrText xml:space="preserve"> PAGEREF _Toc10180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pStyle w:val="4"/>
        <w:bidi w:val="0"/>
        <w:rPr>
          <w:rFonts w:eastAsia="黑体"/>
          <w:bCs/>
          <w:color w:val="auto"/>
          <w:szCs w:val="44"/>
          <w:highlight w:val="none"/>
        </w:rPr>
        <w:sectPr>
          <w:pgSz w:w="11906" w:h="16838"/>
          <w:pgMar w:top="1440" w:right="1800" w:bottom="1440" w:left="1800" w:header="851" w:footer="992" w:gutter="0"/>
          <w:pgNumType w:start="1"/>
          <w:cols w:space="425" w:num="1"/>
          <w:docGrid w:type="lines" w:linePitch="312" w:charSpace="0"/>
        </w:sectPr>
      </w:pPr>
    </w:p>
    <w:p>
      <w:pPr>
        <w:pStyle w:val="4"/>
        <w:bidi w:val="0"/>
        <w:rPr>
          <w:color w:val="auto"/>
          <w:highlight w:val="none"/>
        </w:rPr>
      </w:pPr>
      <w:r>
        <w:rPr>
          <w:rFonts w:eastAsia="黑体"/>
          <w:bCs/>
          <w:color w:val="auto"/>
          <w:szCs w:val="44"/>
          <w:highlight w:val="none"/>
        </w:rPr>
        <w:fldChar w:fldCharType="end"/>
      </w:r>
      <w:bookmarkStart w:id="0" w:name="_Toc25620"/>
      <w:r>
        <w:rPr>
          <w:color w:val="auto"/>
          <w:highlight w:val="none"/>
        </w:rPr>
        <w:t>一、基本情况</w:t>
      </w:r>
      <w:bookmarkEnd w:id="0"/>
    </w:p>
    <w:p>
      <w:pPr>
        <w:pStyle w:val="2"/>
        <w:bidi w:val="0"/>
        <w:rPr>
          <w:color w:val="auto"/>
          <w:highlight w:val="none"/>
        </w:rPr>
      </w:pPr>
      <w:bookmarkStart w:id="1" w:name="_Toc8971"/>
      <w:r>
        <w:rPr>
          <w:color w:val="auto"/>
          <w:highlight w:val="none"/>
        </w:rPr>
        <w:t>（一）项目概况</w:t>
      </w:r>
      <w:bookmarkEnd w:id="1"/>
    </w:p>
    <w:p>
      <w:pPr>
        <w:bidi w:val="0"/>
        <w:rPr>
          <w:b/>
          <w:bCs/>
          <w:color w:val="auto"/>
          <w:highlight w:val="none"/>
        </w:rPr>
      </w:pPr>
      <w:r>
        <w:rPr>
          <w:b/>
          <w:bCs/>
          <w:color w:val="auto"/>
          <w:highlight w:val="none"/>
        </w:rPr>
        <w:t>1、项目背景</w:t>
      </w:r>
    </w:p>
    <w:p>
      <w:pPr>
        <w:bidi w:val="0"/>
        <w:rPr>
          <w:color w:val="auto"/>
          <w:highlight w:val="none"/>
        </w:rPr>
      </w:pPr>
      <w:r>
        <w:rPr>
          <w:rFonts w:hint="eastAsia"/>
          <w:color w:val="auto"/>
          <w:highlight w:val="none"/>
          <w:lang w:val="en-US" w:eastAsia="zh-CN"/>
        </w:rPr>
        <w:t>近些年来节能环保问题日益突出，2023年我单位申请</w:t>
      </w:r>
      <w:r>
        <w:rPr>
          <w:rFonts w:hint="eastAsia"/>
          <w:color w:val="auto"/>
          <w:highlight w:val="none"/>
          <w:lang w:eastAsia="zh-CN"/>
        </w:rPr>
        <w:t>供热技术提升改造项目</w:t>
      </w:r>
      <w:r>
        <w:rPr>
          <w:rFonts w:hint="eastAsia"/>
          <w:color w:val="auto"/>
          <w:highlight w:val="none"/>
          <w:lang w:val="en-US" w:eastAsia="zh-CN"/>
        </w:rPr>
        <w:t>旨在提升供热设备的能效和环保性，使用电采暖取代传统燃煤取暖，以满足日益增长的能源需求和环境保护的要求，逐渐实现可持续发展和解决供热过程中可能存在的问题。</w:t>
      </w:r>
    </w:p>
    <w:p>
      <w:pPr>
        <w:bidi w:val="0"/>
        <w:rPr>
          <w:b/>
          <w:bCs/>
          <w:color w:val="auto"/>
          <w:highlight w:val="none"/>
        </w:rPr>
      </w:pPr>
      <w:r>
        <w:rPr>
          <w:b/>
          <w:bCs/>
          <w:color w:val="auto"/>
          <w:highlight w:val="none"/>
        </w:rPr>
        <w:t>2、项目主要内容</w:t>
      </w:r>
    </w:p>
    <w:p>
      <w:pPr>
        <w:bidi w:val="0"/>
        <w:rPr>
          <w:rFonts w:hint="eastAsia" w:eastAsia="仿宋_GB2312"/>
          <w:color w:val="auto"/>
          <w:highlight w:val="none"/>
          <w:lang w:eastAsia="zh-CN"/>
        </w:rPr>
      </w:pPr>
      <w:r>
        <w:rPr>
          <w:rFonts w:hint="eastAsia"/>
          <w:color w:val="auto"/>
          <w:highlight w:val="none"/>
          <w:lang w:val="en-US" w:eastAsia="zh-CN"/>
        </w:rPr>
        <w:t>该项目资金主要用于</w:t>
      </w:r>
      <w:r>
        <w:rPr>
          <w:rFonts w:hint="eastAsia"/>
          <w:color w:val="auto"/>
          <w:highlight w:val="none"/>
        </w:rPr>
        <w:t>阿克苏普乡供热技术改造项目供热机组安装、能源站内设备及管道等安装、钢管及软管的接管、水箱、水泵、压力表的采购及安装的费用</w:t>
      </w:r>
      <w:r>
        <w:rPr>
          <w:rFonts w:hint="eastAsia"/>
          <w:color w:val="auto"/>
          <w:highlight w:val="none"/>
          <w:lang w:eastAsia="zh-CN"/>
        </w:rPr>
        <w:t>。</w:t>
      </w:r>
    </w:p>
    <w:p>
      <w:pPr>
        <w:bidi w:val="0"/>
        <w:rPr>
          <w:b/>
          <w:bCs/>
          <w:color w:val="auto"/>
          <w:highlight w:val="none"/>
        </w:rPr>
      </w:pPr>
      <w:r>
        <w:rPr>
          <w:rFonts w:hint="eastAsia"/>
          <w:b/>
          <w:bCs/>
          <w:color w:val="auto"/>
          <w:highlight w:val="none"/>
        </w:rPr>
        <w:t>3、</w:t>
      </w:r>
      <w:r>
        <w:rPr>
          <w:b/>
          <w:bCs/>
          <w:color w:val="auto"/>
          <w:highlight w:val="none"/>
        </w:rPr>
        <w:t>项目实施情况</w:t>
      </w:r>
    </w:p>
    <w:p>
      <w:pPr>
        <w:bidi w:val="0"/>
        <w:rPr>
          <w:rFonts w:hint="eastAsia"/>
          <w:color w:val="auto"/>
          <w:highlight w:val="none"/>
          <w:lang w:val="en-US" w:eastAsia="zh-CN"/>
        </w:rPr>
      </w:pPr>
      <w:r>
        <w:rPr>
          <w:rFonts w:hint="eastAsia"/>
          <w:color w:val="auto"/>
          <w:highlight w:val="none"/>
          <w:lang w:val="en-US" w:eastAsia="zh-CN"/>
        </w:rPr>
        <w:t>根据尉犁县阿克苏普乡人民政府供热技术改造项目实施方案及任务计划，适时开展以下工作方案：</w:t>
      </w:r>
    </w:p>
    <w:p>
      <w:pPr>
        <w:bidi w:val="0"/>
        <w:rPr>
          <w:rFonts w:hint="default" w:eastAsia="仿宋_GB2312"/>
          <w:color w:val="auto"/>
          <w:highlight w:val="none"/>
          <w:lang w:val="en-US" w:eastAsia="zh-CN"/>
        </w:rPr>
      </w:pPr>
      <w:r>
        <w:rPr>
          <w:rFonts w:hint="eastAsia"/>
          <w:color w:val="auto"/>
          <w:highlight w:val="none"/>
          <w:lang w:val="en-US" w:eastAsia="zh-CN"/>
        </w:rPr>
        <w:t>该项目资金于</w:t>
      </w:r>
      <w:r>
        <w:rPr>
          <w:color w:val="auto"/>
          <w:highlight w:val="none"/>
        </w:rPr>
        <w:t>202</w:t>
      </w:r>
      <w:r>
        <w:rPr>
          <w:rFonts w:hint="eastAsia"/>
          <w:color w:val="auto"/>
          <w:highlight w:val="none"/>
          <w:lang w:val="en-US" w:eastAsia="zh-CN"/>
        </w:rPr>
        <w:t>3</w:t>
      </w:r>
      <w:r>
        <w:rPr>
          <w:color w:val="auto"/>
          <w:highlight w:val="none"/>
        </w:rPr>
        <w:t>年</w:t>
      </w:r>
      <w:r>
        <w:rPr>
          <w:rFonts w:hint="eastAsia"/>
          <w:color w:val="auto"/>
          <w:highlight w:val="none"/>
          <w:lang w:val="en-US" w:eastAsia="zh-CN"/>
        </w:rPr>
        <w:t>8</w:t>
      </w:r>
      <w:r>
        <w:rPr>
          <w:color w:val="auto"/>
          <w:highlight w:val="none"/>
        </w:rPr>
        <w:t>月，经</w:t>
      </w:r>
      <w:r>
        <w:rPr>
          <w:rFonts w:hint="eastAsia"/>
          <w:color w:val="auto"/>
          <w:highlight w:val="none"/>
          <w:lang w:val="en-US" w:eastAsia="zh-CN"/>
        </w:rPr>
        <w:t>尉犁</w:t>
      </w:r>
      <w:r>
        <w:rPr>
          <w:color w:val="auto"/>
          <w:highlight w:val="none"/>
        </w:rPr>
        <w:t>县财政局批复同意。</w:t>
      </w:r>
      <w:r>
        <w:rPr>
          <w:rFonts w:hint="eastAsia"/>
          <w:color w:val="auto"/>
          <w:highlight w:val="none"/>
          <w:lang w:val="en-US" w:eastAsia="zh-CN"/>
        </w:rPr>
        <w:t>项目实施情况如下：</w:t>
      </w:r>
    </w:p>
    <w:p>
      <w:pPr>
        <w:bidi w:val="0"/>
        <w:rPr>
          <w:rFonts w:hint="default"/>
          <w:color w:val="auto"/>
          <w:highlight w:val="none"/>
          <w:lang w:val="en-US"/>
        </w:rPr>
      </w:pPr>
      <w:r>
        <w:rPr>
          <w:rFonts w:hint="eastAsia"/>
          <w:color w:val="auto"/>
          <w:highlight w:val="none"/>
          <w:lang w:val="en-US" w:eastAsia="zh-CN"/>
        </w:rPr>
        <w:t>（1）验收合格后，2023年9月2日一次性支付供应商39.3万元，包括主要设施为：热源站箱变材料（400）费用24.67万元，安装及附属设施费用14.63万元。</w:t>
      </w:r>
    </w:p>
    <w:p>
      <w:pPr>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w:t>
      </w:r>
      <w:r>
        <w:rPr>
          <w:rFonts w:hint="eastAsia"/>
          <w:color w:val="auto"/>
          <w:highlight w:val="none"/>
          <w:lang w:val="en-US" w:eastAsia="zh-CN"/>
        </w:rPr>
        <w:t>2023年冬季</w:t>
      </w:r>
      <w:r>
        <w:rPr>
          <w:rFonts w:hint="eastAsia"/>
          <w:color w:val="auto"/>
          <w:highlight w:val="none"/>
          <w:lang w:eastAsia="zh-CN"/>
        </w:rPr>
        <w:t>供热基础设施</w:t>
      </w:r>
      <w:r>
        <w:rPr>
          <w:rFonts w:hint="eastAsia"/>
          <w:color w:val="auto"/>
          <w:highlight w:val="none"/>
          <w:lang w:val="en-US" w:eastAsia="zh-CN"/>
        </w:rPr>
        <w:t>有效改善，节能增效，节约不可再生资源，使得生态环境有效改善。</w:t>
      </w:r>
    </w:p>
    <w:p>
      <w:pPr>
        <w:bidi w:val="0"/>
        <w:rPr>
          <w:color w:val="auto"/>
          <w:highlight w:val="none"/>
        </w:rPr>
      </w:pPr>
      <w:r>
        <w:rPr>
          <w:rFonts w:hint="eastAsia"/>
          <w:color w:val="auto"/>
          <w:highlight w:val="none"/>
        </w:rPr>
        <w:t>（3）</w:t>
      </w:r>
      <w:r>
        <w:rPr>
          <w:rFonts w:hint="eastAsia"/>
          <w:color w:val="auto"/>
          <w:highlight w:val="none"/>
          <w:lang w:val="en-US" w:eastAsia="zh-CN"/>
        </w:rPr>
        <w:t>乡镇干部</w:t>
      </w:r>
      <w:r>
        <w:rPr>
          <w:color w:val="auto"/>
          <w:highlight w:val="none"/>
        </w:rPr>
        <w:t>满意率达到9</w:t>
      </w:r>
      <w:r>
        <w:rPr>
          <w:rFonts w:hint="eastAsia"/>
          <w:color w:val="auto"/>
          <w:highlight w:val="none"/>
          <w:lang w:val="en-US" w:eastAsia="zh-CN"/>
        </w:rPr>
        <w:t>5</w:t>
      </w:r>
      <w:r>
        <w:rPr>
          <w:color w:val="auto"/>
          <w:highlight w:val="none"/>
        </w:rPr>
        <w:t>%。</w:t>
      </w:r>
    </w:p>
    <w:p>
      <w:pPr>
        <w:bidi w:val="0"/>
        <w:rPr>
          <w:b/>
          <w:bCs/>
          <w:color w:val="auto"/>
          <w:highlight w:val="none"/>
        </w:rPr>
      </w:pPr>
      <w:r>
        <w:rPr>
          <w:rFonts w:hint="eastAsia"/>
          <w:b/>
          <w:bCs/>
          <w:color w:val="auto"/>
          <w:highlight w:val="none"/>
        </w:rPr>
        <w:t>4、资金投入情况</w:t>
      </w:r>
    </w:p>
    <w:p>
      <w:pPr>
        <w:bidi w:val="0"/>
        <w:rPr>
          <w:rFonts w:hint="default"/>
          <w:color w:val="auto"/>
          <w:highlight w:val="none"/>
          <w:lang w:val="en-US" w:eastAsia="zh-CN"/>
        </w:rPr>
      </w:pPr>
      <w:r>
        <w:rPr>
          <w:rFonts w:hint="eastAsia"/>
          <w:color w:val="auto"/>
          <w:highlight w:val="none"/>
        </w:rPr>
        <w:t>根据</w:t>
      </w:r>
      <w:r>
        <w:rPr>
          <w:rFonts w:hint="eastAsia"/>
          <w:color w:val="auto"/>
          <w:highlight w:val="none"/>
          <w:lang w:val="en-US" w:eastAsia="zh-CN"/>
        </w:rPr>
        <w:t>2023年阿克苏普乡供热技术改造项目需要，下达财政资金39.3万元，用于阿克苏普乡供热技术改造，其中本级财政资金39.3万元。</w:t>
      </w:r>
    </w:p>
    <w:p>
      <w:pPr>
        <w:bidi w:val="0"/>
        <w:rPr>
          <w:b/>
          <w:bCs/>
          <w:color w:val="auto"/>
          <w:highlight w:val="none"/>
        </w:rPr>
      </w:pPr>
      <w:r>
        <w:rPr>
          <w:rFonts w:hint="eastAsia"/>
          <w:b/>
          <w:bCs/>
          <w:color w:val="auto"/>
          <w:highlight w:val="none"/>
        </w:rPr>
        <w:t>5、资金使用情况</w:t>
      </w:r>
    </w:p>
    <w:p>
      <w:pPr>
        <w:bidi w:val="0"/>
        <w:rPr>
          <w:rFonts w:hint="eastAsia"/>
          <w:color w:val="auto"/>
          <w:highlight w:val="none"/>
        </w:rPr>
      </w:pPr>
      <w:r>
        <w:rPr>
          <w:rFonts w:hint="eastAsia"/>
          <w:color w:val="auto"/>
          <w:highlight w:val="none"/>
          <w:lang w:val="en-US" w:eastAsia="zh-CN"/>
        </w:rPr>
        <w:t>2023年中追加39.3万元，实际到位资金39.3万元。截至2023年12月31日，项目实际使用资金39.3万元，资金使用率达到了100%。具体</w:t>
      </w:r>
      <w:r>
        <w:rPr>
          <w:rFonts w:hint="eastAsia"/>
          <w:color w:val="auto"/>
          <w:highlight w:val="none"/>
        </w:rPr>
        <w:t>资金</w:t>
      </w:r>
      <w:r>
        <w:rPr>
          <w:rFonts w:hint="eastAsia"/>
          <w:color w:val="auto"/>
          <w:highlight w:val="none"/>
          <w:lang w:val="en-US" w:eastAsia="zh-CN"/>
        </w:rPr>
        <w:t>支付</w:t>
      </w:r>
      <w:r>
        <w:rPr>
          <w:rFonts w:hint="eastAsia"/>
          <w:color w:val="auto"/>
          <w:highlight w:val="none"/>
        </w:rPr>
        <w:t>情况如下：</w:t>
      </w:r>
    </w:p>
    <w:p>
      <w:pPr>
        <w:bidi w:val="0"/>
        <w:rPr>
          <w:rFonts w:hint="eastAsia" w:eastAsia="仿宋_GB2312"/>
          <w:color w:val="auto"/>
          <w:highlight w:val="none"/>
          <w:lang w:eastAsia="zh-CN"/>
        </w:rPr>
      </w:pPr>
      <w:r>
        <w:rPr>
          <w:rFonts w:hint="eastAsia"/>
          <w:color w:val="auto"/>
          <w:highlight w:val="none"/>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9</w:t>
      </w:r>
      <w:r>
        <w:rPr>
          <w:rFonts w:hint="eastAsia"/>
          <w:color w:val="auto"/>
          <w:highlight w:val="none"/>
        </w:rPr>
        <w:t>月2日，支付</w:t>
      </w:r>
      <w:r>
        <w:rPr>
          <w:rFonts w:hint="eastAsia"/>
          <w:color w:val="auto"/>
          <w:highlight w:val="none"/>
          <w:lang w:val="en-US" w:eastAsia="zh-CN"/>
        </w:rPr>
        <w:t>39.3</w:t>
      </w:r>
      <w:r>
        <w:rPr>
          <w:rFonts w:hint="eastAsia"/>
          <w:color w:val="auto"/>
          <w:highlight w:val="none"/>
        </w:rPr>
        <w:t>万元</w:t>
      </w:r>
      <w:r>
        <w:rPr>
          <w:rFonts w:hint="eastAsia"/>
          <w:color w:val="auto"/>
          <w:highlight w:val="none"/>
          <w:lang w:eastAsia="zh-CN"/>
        </w:rPr>
        <w:t>。</w:t>
      </w:r>
    </w:p>
    <w:p>
      <w:pPr>
        <w:pStyle w:val="2"/>
        <w:bidi w:val="0"/>
        <w:rPr>
          <w:color w:val="auto"/>
          <w:highlight w:val="none"/>
        </w:rPr>
      </w:pPr>
      <w:bookmarkStart w:id="2" w:name="_Toc25187"/>
      <w:r>
        <w:rPr>
          <w:color w:val="auto"/>
          <w:highlight w:val="none"/>
        </w:rPr>
        <w:t>（二）项目绩效目标</w:t>
      </w:r>
      <w:bookmarkEnd w:id="2"/>
    </w:p>
    <w:p>
      <w:pPr>
        <w:bidi w:val="0"/>
        <w:rPr>
          <w:b/>
          <w:bCs/>
          <w:color w:val="auto"/>
          <w:highlight w:val="none"/>
        </w:rPr>
      </w:pPr>
      <w:r>
        <w:rPr>
          <w:rFonts w:hint="eastAsia"/>
          <w:b/>
          <w:bCs/>
          <w:color w:val="auto"/>
          <w:highlight w:val="none"/>
        </w:rPr>
        <w:t>1、总体目标</w:t>
      </w:r>
    </w:p>
    <w:p>
      <w:pPr>
        <w:bidi w:val="0"/>
        <w:rPr>
          <w:color w:val="auto"/>
          <w:highlight w:val="none"/>
        </w:rPr>
      </w:pPr>
      <w:r>
        <w:rPr>
          <w:rFonts w:hint="eastAsia"/>
          <w:color w:val="auto"/>
          <w:highlight w:val="none"/>
        </w:rPr>
        <w:t>对</w:t>
      </w:r>
      <w:r>
        <w:rPr>
          <w:rFonts w:hint="eastAsia"/>
          <w:color w:val="auto"/>
          <w:highlight w:val="none"/>
          <w:lang w:val="en-US" w:eastAsia="zh-CN"/>
        </w:rPr>
        <w:t>2023年</w:t>
      </w:r>
      <w:r>
        <w:rPr>
          <w:rFonts w:hint="eastAsia"/>
          <w:color w:val="auto"/>
          <w:highlight w:val="none"/>
        </w:rPr>
        <w:t>阿克苏普乡供热技术提升改造，采购一批400千瓦变压器及相关配件，践行绿色环保理念，减少使用不可再生资源的使用，减少大气污染。</w:t>
      </w:r>
    </w:p>
    <w:p>
      <w:pPr>
        <w:bidi w:val="0"/>
        <w:rPr>
          <w:b/>
          <w:bCs/>
          <w:color w:val="auto"/>
          <w:highlight w:val="none"/>
        </w:rPr>
      </w:pPr>
      <w:r>
        <w:rPr>
          <w:rFonts w:hint="eastAsia"/>
          <w:b/>
          <w:bCs/>
          <w:color w:val="auto"/>
          <w:highlight w:val="none"/>
        </w:rPr>
        <w:t>2、阶段性目标</w:t>
      </w:r>
    </w:p>
    <w:p>
      <w:pPr>
        <w:bidi w:val="0"/>
        <w:rPr>
          <w:rFonts w:hint="eastAsia" w:eastAsia="仿宋_GB2312"/>
          <w:color w:val="auto"/>
          <w:highlight w:val="none"/>
          <w:lang w:eastAsia="zh-CN"/>
        </w:rPr>
      </w:pPr>
      <w:r>
        <w:rPr>
          <w:color w:val="auto"/>
          <w:highlight w:val="none"/>
        </w:rPr>
        <w:t>（1）</w:t>
      </w:r>
      <w:r>
        <w:rPr>
          <w:rFonts w:hint="eastAsia"/>
          <w:color w:val="auto"/>
          <w:highlight w:val="none"/>
        </w:rPr>
        <w:t>采购变压器数量1个</w:t>
      </w:r>
      <w:r>
        <w:rPr>
          <w:rFonts w:hint="eastAsia"/>
          <w:color w:val="auto"/>
          <w:highlight w:val="none"/>
          <w:lang w:eastAsia="zh-CN"/>
        </w:rPr>
        <w:t>，</w:t>
      </w:r>
      <w:r>
        <w:rPr>
          <w:rFonts w:hint="eastAsia"/>
          <w:color w:val="auto"/>
          <w:highlight w:val="none"/>
        </w:rPr>
        <w:t>采购设备成本24.67万元/套</w:t>
      </w:r>
      <w:r>
        <w:rPr>
          <w:rFonts w:hint="eastAsia"/>
          <w:color w:val="auto"/>
          <w:highlight w:val="none"/>
          <w:lang w:eastAsia="zh-CN"/>
        </w:rPr>
        <w:t>，安装及附属设施费用14.63万元；</w:t>
      </w:r>
    </w:p>
    <w:p>
      <w:pPr>
        <w:bidi w:val="0"/>
        <w:rPr>
          <w:rFonts w:hint="default" w:eastAsia="仿宋_GB2312"/>
          <w:color w:val="auto"/>
          <w:highlight w:val="none"/>
          <w:lang w:val="en-US" w:eastAsia="zh-CN"/>
        </w:rPr>
      </w:pPr>
      <w:r>
        <w:rPr>
          <w:color w:val="auto"/>
          <w:highlight w:val="none"/>
        </w:rPr>
        <w:t>（2）</w:t>
      </w:r>
      <w:r>
        <w:rPr>
          <w:rFonts w:hint="eastAsia"/>
          <w:color w:val="auto"/>
          <w:highlight w:val="none"/>
          <w:lang w:val="en-US" w:eastAsia="zh-CN"/>
        </w:rPr>
        <w:t xml:space="preserve"> </w:t>
      </w:r>
      <w:r>
        <w:rPr>
          <w:rFonts w:hint="eastAsia"/>
          <w:color w:val="auto"/>
          <w:highlight w:val="none"/>
        </w:rPr>
        <w:t>设备验收合格率</w:t>
      </w:r>
      <w:r>
        <w:rPr>
          <w:rFonts w:hint="eastAsia"/>
          <w:color w:val="auto"/>
          <w:highlight w:val="none"/>
          <w:lang w:val="en-US" w:eastAsia="zh-CN"/>
        </w:rPr>
        <w:t>达100%，工程完工及时率达100%；</w:t>
      </w:r>
    </w:p>
    <w:p>
      <w:pPr>
        <w:bidi w:val="0"/>
        <w:rPr>
          <w:rFonts w:hint="default"/>
          <w:color w:val="auto"/>
          <w:highlight w:val="none"/>
          <w:lang w:val="en-US" w:eastAsia="zh-CN"/>
        </w:rPr>
      </w:pPr>
      <w:r>
        <w:rPr>
          <w:color w:val="auto"/>
          <w:highlight w:val="none"/>
        </w:rPr>
        <w:t>（3）</w:t>
      </w:r>
      <w:r>
        <w:rPr>
          <w:rFonts w:hint="eastAsia"/>
          <w:color w:val="auto"/>
          <w:highlight w:val="none"/>
          <w:lang w:val="en-US" w:eastAsia="zh-CN"/>
        </w:rPr>
        <w:t>有效</w:t>
      </w:r>
      <w:r>
        <w:rPr>
          <w:rFonts w:hint="eastAsia"/>
          <w:color w:val="auto"/>
          <w:highlight w:val="none"/>
        </w:rPr>
        <w:t>改善供热基础设施</w:t>
      </w:r>
      <w:r>
        <w:rPr>
          <w:rFonts w:hint="eastAsia"/>
          <w:color w:val="auto"/>
          <w:highlight w:val="none"/>
          <w:lang w:eastAsia="zh-CN"/>
        </w:rPr>
        <w:t>，</w:t>
      </w:r>
      <w:r>
        <w:rPr>
          <w:rFonts w:hint="eastAsia"/>
          <w:color w:val="auto"/>
          <w:highlight w:val="none"/>
          <w:lang w:val="en-US" w:eastAsia="zh-CN"/>
        </w:rPr>
        <w:t>有效改善生态环境；</w:t>
      </w:r>
    </w:p>
    <w:p>
      <w:pPr>
        <w:bidi w:val="0"/>
        <w:rPr>
          <w:rFonts w:hint="default" w:eastAsia="仿宋_GB2312"/>
          <w:color w:val="auto"/>
          <w:highlight w:val="none"/>
          <w:lang w:val="en-US" w:eastAsia="zh-CN"/>
        </w:rPr>
      </w:pPr>
      <w:r>
        <w:rPr>
          <w:color w:val="auto"/>
          <w:highlight w:val="none"/>
        </w:rPr>
        <w:t>（4）</w:t>
      </w:r>
      <w:r>
        <w:rPr>
          <w:rFonts w:hint="eastAsia"/>
          <w:color w:val="auto"/>
          <w:highlight w:val="none"/>
          <w:lang w:val="en-US" w:eastAsia="zh-CN"/>
        </w:rPr>
        <w:t>受益人员满意度95%。</w:t>
      </w:r>
    </w:p>
    <w:p>
      <w:pPr>
        <w:bidi w:val="0"/>
        <w:rPr>
          <w:color w:val="auto"/>
          <w:highlight w:val="none"/>
        </w:rPr>
      </w:pPr>
    </w:p>
    <w:p>
      <w:pPr>
        <w:pStyle w:val="4"/>
        <w:bidi w:val="0"/>
        <w:rPr>
          <w:color w:val="auto"/>
          <w:highlight w:val="none"/>
        </w:rPr>
      </w:pPr>
      <w:bookmarkStart w:id="3" w:name="_Toc28824"/>
      <w:r>
        <w:rPr>
          <w:rFonts w:hint="eastAsia"/>
          <w:color w:val="auto"/>
          <w:highlight w:val="none"/>
        </w:rPr>
        <w:t>二、绩效评价工作开展情况</w:t>
      </w:r>
      <w:bookmarkEnd w:id="3"/>
    </w:p>
    <w:p>
      <w:pPr>
        <w:pStyle w:val="2"/>
        <w:bidi w:val="0"/>
        <w:rPr>
          <w:color w:val="auto"/>
          <w:highlight w:val="none"/>
        </w:rPr>
      </w:pPr>
      <w:bookmarkStart w:id="4" w:name="_Toc24175"/>
      <w:r>
        <w:rPr>
          <w:rFonts w:hint="eastAsia"/>
          <w:color w:val="auto"/>
          <w:highlight w:val="none"/>
        </w:rPr>
        <w:t>（一）绩效评价目的、对象和范围</w:t>
      </w:r>
      <w:bookmarkEnd w:id="4"/>
    </w:p>
    <w:p>
      <w:pPr>
        <w:bidi w:val="0"/>
        <w:rPr>
          <w:b/>
          <w:bCs/>
          <w:color w:val="auto"/>
          <w:highlight w:val="none"/>
        </w:rPr>
      </w:pPr>
      <w:r>
        <w:rPr>
          <w:b/>
          <w:bCs/>
          <w:color w:val="auto"/>
          <w:highlight w:val="none"/>
        </w:rPr>
        <w:t>1</w:t>
      </w:r>
      <w:r>
        <w:rPr>
          <w:rFonts w:hint="eastAsia"/>
          <w:b/>
          <w:bCs/>
          <w:color w:val="auto"/>
          <w:highlight w:val="none"/>
        </w:rPr>
        <w:t>、</w:t>
      </w:r>
      <w:r>
        <w:rPr>
          <w:b/>
          <w:bCs/>
          <w:color w:val="auto"/>
          <w:highlight w:val="none"/>
        </w:rPr>
        <w:t>绩效评价的目的</w:t>
      </w:r>
    </w:p>
    <w:p>
      <w:pPr>
        <w:bidi w:val="0"/>
        <w:rPr>
          <w:color w:val="auto"/>
          <w:highlight w:val="none"/>
        </w:rPr>
      </w:pPr>
      <w:r>
        <w:rPr>
          <w:color w:val="auto"/>
          <w:highlight w:val="none"/>
        </w:rPr>
        <w:t>本次绩效评价遵循财政部《关于印发&lt;项目支出绩效评价管理办法&gt;的通知》（财预〔2020〕10号）文件精神，对</w:t>
      </w:r>
      <w:r>
        <w:rPr>
          <w:rFonts w:hint="eastAsia"/>
          <w:color w:val="auto"/>
          <w:highlight w:val="none"/>
          <w:lang w:val="en-US" w:eastAsia="zh-CN"/>
        </w:rPr>
        <w:t>2023年</w:t>
      </w:r>
      <w:r>
        <w:rPr>
          <w:rFonts w:hint="eastAsia"/>
          <w:color w:val="auto"/>
          <w:highlight w:val="none"/>
          <w:lang w:eastAsia="zh-CN"/>
        </w:rPr>
        <w:t>阿克苏普乡供热技术改造项目</w:t>
      </w:r>
      <w:r>
        <w:rPr>
          <w:color w:val="auto"/>
          <w:highlight w:val="none"/>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pPr>
        <w:bidi w:val="0"/>
        <w:rPr>
          <w:b/>
          <w:bCs/>
          <w:color w:val="auto"/>
          <w:highlight w:val="none"/>
        </w:rPr>
      </w:pPr>
      <w:r>
        <w:rPr>
          <w:b/>
          <w:bCs/>
          <w:color w:val="auto"/>
          <w:highlight w:val="none"/>
        </w:rPr>
        <w:t>2</w:t>
      </w:r>
      <w:r>
        <w:rPr>
          <w:rFonts w:hint="eastAsia"/>
          <w:b/>
          <w:bCs/>
          <w:color w:val="auto"/>
          <w:highlight w:val="none"/>
        </w:rPr>
        <w:t>、</w:t>
      </w:r>
      <w:r>
        <w:rPr>
          <w:b/>
          <w:bCs/>
          <w:color w:val="auto"/>
          <w:highlight w:val="none"/>
        </w:rPr>
        <w:t>绩效评价的对象和范围</w:t>
      </w:r>
    </w:p>
    <w:p>
      <w:pPr>
        <w:bidi w:val="0"/>
        <w:rPr>
          <w:color w:val="auto"/>
          <w:highlight w:val="none"/>
        </w:rPr>
      </w:pPr>
      <w:r>
        <w:rPr>
          <w:color w:val="auto"/>
          <w:highlight w:val="none"/>
        </w:rPr>
        <w:t>根据《财政支出绩效评价管理办法》（财预〔2020〕10号）文件要求，对</w:t>
      </w:r>
      <w:r>
        <w:rPr>
          <w:rFonts w:hint="eastAsia"/>
          <w:color w:val="auto"/>
          <w:highlight w:val="none"/>
          <w:lang w:val="en-US" w:eastAsia="zh-CN"/>
        </w:rPr>
        <w:t>2023年</w:t>
      </w:r>
      <w:r>
        <w:rPr>
          <w:rFonts w:hint="eastAsia"/>
          <w:color w:val="auto"/>
          <w:highlight w:val="none"/>
          <w:lang w:eastAsia="zh-CN"/>
        </w:rPr>
        <w:t>阿克苏普乡供热技术改造项目</w:t>
      </w:r>
      <w:r>
        <w:rPr>
          <w:color w:val="auto"/>
          <w:highlight w:val="none"/>
        </w:rPr>
        <w:t>开展绩效评价，本次绩效评价范围主要围绕项目决策（包括项目</w:t>
      </w:r>
      <w:r>
        <w:rPr>
          <w:rFonts w:hint="eastAsia"/>
          <w:color w:val="auto"/>
          <w:highlight w:val="none"/>
        </w:rPr>
        <w:t>实施</w:t>
      </w:r>
      <w:r>
        <w:rPr>
          <w:color w:val="auto"/>
          <w:highlight w:val="none"/>
        </w:rPr>
        <w:t>、绩效目标、资金投入）、项目过程（包括资金管理、组织实施）、项目产出（包括产出数量、质量、时效、成本）和项目效益等进行评价。</w:t>
      </w:r>
    </w:p>
    <w:p>
      <w:pPr>
        <w:pStyle w:val="2"/>
        <w:bidi w:val="0"/>
        <w:rPr>
          <w:color w:val="auto"/>
          <w:highlight w:val="none"/>
        </w:rPr>
      </w:pPr>
      <w:bookmarkStart w:id="5" w:name="_Toc5109"/>
      <w:r>
        <w:rPr>
          <w:rFonts w:hint="eastAsia"/>
          <w:color w:val="auto"/>
          <w:highlight w:val="none"/>
        </w:rPr>
        <w:t>（二）绩效评价原则、评价指标体系、评价方法、评价标准</w:t>
      </w:r>
      <w:bookmarkEnd w:id="5"/>
    </w:p>
    <w:p>
      <w:pPr>
        <w:bidi w:val="0"/>
        <w:rPr>
          <w:b/>
          <w:bCs/>
          <w:color w:val="auto"/>
          <w:highlight w:val="none"/>
        </w:rPr>
      </w:pPr>
      <w:r>
        <w:rPr>
          <w:b/>
          <w:bCs/>
          <w:color w:val="auto"/>
          <w:highlight w:val="none"/>
        </w:rPr>
        <w:t>1、绩效评价原则</w:t>
      </w:r>
    </w:p>
    <w:p>
      <w:pPr>
        <w:bidi w:val="0"/>
        <w:rPr>
          <w:color w:val="auto"/>
          <w:highlight w:val="none"/>
        </w:rPr>
      </w:pPr>
      <w:r>
        <w:rPr>
          <w:color w:val="auto"/>
          <w:highlight w:val="none"/>
        </w:rPr>
        <w:t>（1）科学公正。绩效评价应当运用科学合理的方法，按照规范的程序，对项目绩效进行客观、公正</w:t>
      </w:r>
      <w:r>
        <w:rPr>
          <w:rFonts w:hint="eastAsia"/>
          <w:color w:val="auto"/>
          <w:highlight w:val="none"/>
          <w:lang w:eastAsia="zh-CN"/>
        </w:rPr>
        <w:t>地</w:t>
      </w:r>
      <w:r>
        <w:rPr>
          <w:color w:val="auto"/>
          <w:highlight w:val="none"/>
        </w:rPr>
        <w:t>反映。</w:t>
      </w:r>
    </w:p>
    <w:p>
      <w:pPr>
        <w:bidi w:val="0"/>
        <w:rPr>
          <w:color w:val="auto"/>
          <w:highlight w:val="none"/>
        </w:rPr>
      </w:pPr>
      <w:r>
        <w:rPr>
          <w:color w:val="auto"/>
          <w:highlight w:val="none"/>
        </w:rPr>
        <w:t>（2）统筹兼顾。单位自评应由项目单位自主实施，即</w:t>
      </w:r>
      <w:r>
        <w:rPr>
          <w:rFonts w:hint="eastAsia"/>
          <w:color w:val="auto"/>
          <w:highlight w:val="none"/>
        </w:rPr>
        <w:t>“</w:t>
      </w:r>
      <w:r>
        <w:rPr>
          <w:color w:val="auto"/>
          <w:highlight w:val="none"/>
        </w:rPr>
        <w:t>谁支出、谁自评</w:t>
      </w:r>
      <w:r>
        <w:rPr>
          <w:rFonts w:hint="eastAsia"/>
          <w:color w:val="auto"/>
          <w:highlight w:val="none"/>
        </w:rPr>
        <w:t>”</w:t>
      </w:r>
      <w:r>
        <w:rPr>
          <w:color w:val="auto"/>
          <w:highlight w:val="none"/>
        </w:rPr>
        <w:t>。</w:t>
      </w:r>
    </w:p>
    <w:p>
      <w:pPr>
        <w:bidi w:val="0"/>
        <w:rPr>
          <w:color w:val="auto"/>
          <w:highlight w:val="none"/>
        </w:rPr>
      </w:pPr>
      <w:r>
        <w:rPr>
          <w:color w:val="auto"/>
          <w:highlight w:val="none"/>
        </w:rPr>
        <w:t>（3）激励约束。绩效评价结果应与预算安排、政策调整、改进管理实质性挂钩，体现奖优罚劣和激励相容导向，有效要安排、低效要压减、无效要问责。</w:t>
      </w:r>
    </w:p>
    <w:p>
      <w:pPr>
        <w:bidi w:val="0"/>
        <w:rPr>
          <w:color w:val="auto"/>
          <w:highlight w:val="none"/>
        </w:rPr>
      </w:pPr>
      <w:r>
        <w:rPr>
          <w:color w:val="auto"/>
          <w:highlight w:val="none"/>
        </w:rPr>
        <w:t>（4）公开透明。</w:t>
      </w:r>
      <w:bookmarkStart w:id="6" w:name="_Toc30993"/>
      <w:bookmarkStart w:id="7" w:name="_Toc23112"/>
      <w:r>
        <w:rPr>
          <w:rFonts w:hint="eastAsia"/>
          <w:color w:val="auto"/>
          <w:highlight w:val="none"/>
        </w:rPr>
        <w:t>本次项目支出绩效评价结果已依法依规在</w:t>
      </w:r>
      <w:r>
        <w:rPr>
          <w:rFonts w:hint="eastAsia"/>
          <w:color w:val="auto"/>
          <w:highlight w:val="none"/>
          <w:lang w:val="en-US" w:eastAsia="zh-CN"/>
        </w:rPr>
        <w:t>尉犁</w:t>
      </w:r>
      <w:r>
        <w:rPr>
          <w:rFonts w:hint="eastAsia"/>
          <w:color w:val="auto"/>
          <w:highlight w:val="none"/>
        </w:rPr>
        <w:t>县人民政府网站上公开，并自觉接受社会监督。</w:t>
      </w:r>
    </w:p>
    <w:p>
      <w:pPr>
        <w:bidi w:val="0"/>
        <w:rPr>
          <w:b/>
          <w:bCs/>
          <w:color w:val="auto"/>
          <w:highlight w:val="none"/>
        </w:rPr>
      </w:pPr>
      <w:r>
        <w:rPr>
          <w:b/>
          <w:bCs/>
          <w:color w:val="auto"/>
          <w:highlight w:val="none"/>
        </w:rPr>
        <w:t>2</w:t>
      </w:r>
      <w:r>
        <w:rPr>
          <w:rFonts w:hint="eastAsia"/>
          <w:b/>
          <w:bCs/>
          <w:color w:val="auto"/>
          <w:highlight w:val="none"/>
        </w:rPr>
        <w:t>、</w:t>
      </w:r>
      <w:r>
        <w:rPr>
          <w:b/>
          <w:bCs/>
          <w:color w:val="auto"/>
          <w:highlight w:val="none"/>
        </w:rPr>
        <w:t>评价指标体系</w:t>
      </w:r>
      <w:bookmarkEnd w:id="6"/>
      <w:bookmarkEnd w:id="7"/>
    </w:p>
    <w:p>
      <w:pPr>
        <w:bidi w:val="0"/>
        <w:rPr>
          <w:color w:val="auto"/>
          <w:highlight w:val="none"/>
        </w:rPr>
      </w:pPr>
      <w:r>
        <w:rPr>
          <w:rFonts w:hint="eastAsia"/>
          <w:color w:val="auto"/>
          <w:highlight w:val="none"/>
          <w:lang w:val="en-US" w:eastAsia="zh-CN"/>
        </w:rPr>
        <w:t>2023年</w:t>
      </w:r>
      <w:r>
        <w:rPr>
          <w:rFonts w:hint="eastAsia"/>
          <w:color w:val="auto"/>
          <w:highlight w:val="none"/>
          <w:lang w:eastAsia="zh-CN"/>
        </w:rPr>
        <w:t>阿克苏普乡供热技术改造项目</w:t>
      </w:r>
      <w:r>
        <w:rPr>
          <w:color w:val="auto"/>
          <w:highlight w:val="none"/>
        </w:rPr>
        <w:t>绩效评价（部门自评）指标体系的设计，是在充分掌握项目状况的基础上，形成了</w:t>
      </w:r>
      <w:r>
        <w:rPr>
          <w:rFonts w:hint="eastAsia"/>
          <w:color w:val="auto"/>
          <w:highlight w:val="none"/>
          <w:lang w:val="en-US" w:eastAsia="zh-CN"/>
        </w:rPr>
        <w:t>2023年</w:t>
      </w:r>
      <w:r>
        <w:rPr>
          <w:rFonts w:hint="eastAsia"/>
          <w:color w:val="auto"/>
          <w:highlight w:val="none"/>
          <w:lang w:eastAsia="zh-CN"/>
        </w:rPr>
        <w:t>阿克苏普乡供热技术改造项目</w:t>
      </w:r>
      <w:r>
        <w:rPr>
          <w:color w:val="auto"/>
          <w:highlight w:val="none"/>
        </w:rPr>
        <w:t>的项目支出绩效评价指标体系（部门自评）。本项目设计绩效评价指标体系满分100分。四个级别分别是：优、良、中、差，90（含）-100分为优、80（含）-90分为良、60（含）-80分为中、60分以下为差。</w:t>
      </w:r>
    </w:p>
    <w:p>
      <w:pPr>
        <w:bidi w:val="0"/>
        <w:rPr>
          <w:color w:val="auto"/>
          <w:highlight w:val="none"/>
        </w:rPr>
      </w:pPr>
      <w:r>
        <w:rPr>
          <w:color w:val="auto"/>
          <w:highlight w:val="none"/>
        </w:rPr>
        <w:t>按照财预〔2020〕10号文件关于</w:t>
      </w:r>
      <w:r>
        <w:rPr>
          <w:rFonts w:hint="eastAsia"/>
          <w:color w:val="auto"/>
          <w:highlight w:val="none"/>
        </w:rPr>
        <w:t>“</w:t>
      </w:r>
      <w:r>
        <w:rPr>
          <w:color w:val="auto"/>
          <w:highlight w:val="none"/>
        </w:rPr>
        <w:t>原则上产出、效益指标权重不低于60%</w:t>
      </w:r>
      <w:r>
        <w:rPr>
          <w:rFonts w:hint="eastAsia"/>
          <w:color w:val="auto"/>
          <w:highlight w:val="none"/>
        </w:rPr>
        <w:t>”</w:t>
      </w:r>
      <w:r>
        <w:rPr>
          <w:color w:val="auto"/>
          <w:highlight w:val="none"/>
        </w:rPr>
        <w:t>的要求，本项目产出、效益指标权重60%（即60分）。具体如下：</w:t>
      </w:r>
    </w:p>
    <w:p>
      <w:pPr>
        <w:rPr>
          <w:color w:val="auto"/>
          <w:highlight w:val="none"/>
        </w:rPr>
      </w:pPr>
      <w:bookmarkStart w:id="8" w:name="_Toc4156"/>
      <w:bookmarkStart w:id="9" w:name="_Toc15680"/>
      <w:r>
        <w:rPr>
          <w:color w:val="auto"/>
          <w:highlight w:val="none"/>
        </w:rPr>
        <w:br w:type="page"/>
      </w:r>
    </w:p>
    <w:tbl>
      <w:tblPr>
        <w:tblStyle w:val="10"/>
        <w:tblpPr w:leftFromText="180" w:rightFromText="180" w:vertAnchor="text" w:horzAnchor="page" w:tblpXSpec="center" w:tblpY="180"/>
        <w:tblOverlap w:val="never"/>
        <w:tblW w:w="544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667"/>
        <w:gridCol w:w="750"/>
        <w:gridCol w:w="2595"/>
        <w:gridCol w:w="4103"/>
        <w:gridCol w:w="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shd w:val="clear" w:color="auto" w:fill="FFFFFF"/>
            <w:vAlign w:val="center"/>
          </w:tcPr>
          <w:p>
            <w:pPr>
              <w:pStyle w:val="13"/>
              <w:bidi w:val="0"/>
              <w:rPr>
                <w:color w:val="auto"/>
                <w:highlight w:val="none"/>
              </w:rPr>
            </w:pPr>
            <w:r>
              <w:rPr>
                <w:color w:val="auto"/>
                <w:highlight w:val="none"/>
              </w:rPr>
              <w:t>一级指标</w:t>
            </w:r>
          </w:p>
        </w:tc>
        <w:tc>
          <w:tcPr>
            <w:tcW w:w="359" w:type="pct"/>
            <w:shd w:val="clear" w:color="auto" w:fill="FFFFFF"/>
            <w:vAlign w:val="center"/>
          </w:tcPr>
          <w:p>
            <w:pPr>
              <w:pStyle w:val="13"/>
              <w:bidi w:val="0"/>
              <w:rPr>
                <w:color w:val="auto"/>
                <w:highlight w:val="none"/>
              </w:rPr>
            </w:pPr>
            <w:r>
              <w:rPr>
                <w:color w:val="auto"/>
                <w:highlight w:val="none"/>
              </w:rPr>
              <w:t>二级指标</w:t>
            </w:r>
          </w:p>
        </w:tc>
        <w:tc>
          <w:tcPr>
            <w:tcW w:w="404" w:type="pct"/>
            <w:shd w:val="clear" w:color="auto" w:fill="FFFFFF"/>
            <w:vAlign w:val="center"/>
          </w:tcPr>
          <w:p>
            <w:pPr>
              <w:pStyle w:val="13"/>
              <w:bidi w:val="0"/>
              <w:rPr>
                <w:color w:val="auto"/>
                <w:highlight w:val="none"/>
              </w:rPr>
            </w:pPr>
            <w:r>
              <w:rPr>
                <w:color w:val="auto"/>
                <w:highlight w:val="none"/>
              </w:rPr>
              <w:t>三级指标</w:t>
            </w:r>
          </w:p>
        </w:tc>
        <w:tc>
          <w:tcPr>
            <w:tcW w:w="1399" w:type="pct"/>
            <w:shd w:val="clear" w:color="auto" w:fill="FFFFFF"/>
            <w:vAlign w:val="center"/>
          </w:tcPr>
          <w:p>
            <w:pPr>
              <w:pStyle w:val="13"/>
              <w:bidi w:val="0"/>
              <w:rPr>
                <w:color w:val="auto"/>
                <w:highlight w:val="none"/>
              </w:rPr>
            </w:pPr>
            <w:r>
              <w:rPr>
                <w:color w:val="auto"/>
                <w:highlight w:val="none"/>
              </w:rPr>
              <w:t>指标解释</w:t>
            </w:r>
          </w:p>
        </w:tc>
        <w:tc>
          <w:tcPr>
            <w:tcW w:w="2212" w:type="pct"/>
            <w:shd w:val="clear" w:color="auto" w:fill="FFFFFF"/>
            <w:vAlign w:val="center"/>
          </w:tcPr>
          <w:p>
            <w:pPr>
              <w:pStyle w:val="13"/>
              <w:bidi w:val="0"/>
              <w:rPr>
                <w:color w:val="auto"/>
                <w:highlight w:val="none"/>
              </w:rPr>
            </w:pPr>
            <w:r>
              <w:rPr>
                <w:color w:val="auto"/>
                <w:highlight w:val="none"/>
              </w:rPr>
              <w:t>指标说明</w:t>
            </w:r>
          </w:p>
        </w:tc>
        <w:tc>
          <w:tcPr>
            <w:tcW w:w="272" w:type="pct"/>
            <w:shd w:val="clear" w:color="auto" w:fill="FFFFFF"/>
            <w:vAlign w:val="center"/>
          </w:tcPr>
          <w:p>
            <w:pPr>
              <w:pStyle w:val="13"/>
              <w:bidi w:val="0"/>
              <w:rPr>
                <w:color w:val="auto"/>
                <w:highlight w:val="none"/>
              </w:rPr>
            </w:pPr>
            <w:r>
              <w:rPr>
                <w:color w:val="auto"/>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restart"/>
            <w:shd w:val="clear" w:color="auto" w:fill="FFFFFF"/>
            <w:vAlign w:val="center"/>
          </w:tcPr>
          <w:p>
            <w:pPr>
              <w:pStyle w:val="13"/>
              <w:bidi w:val="0"/>
              <w:rPr>
                <w:color w:val="auto"/>
                <w:highlight w:val="none"/>
              </w:rPr>
            </w:pPr>
            <w:r>
              <w:rPr>
                <w:color w:val="auto"/>
                <w:highlight w:val="none"/>
              </w:rPr>
              <w:t>决策</w:t>
            </w:r>
          </w:p>
        </w:tc>
        <w:tc>
          <w:tcPr>
            <w:tcW w:w="359" w:type="pct"/>
            <w:vMerge w:val="restart"/>
            <w:shd w:val="clear" w:color="auto" w:fill="FFFFFF"/>
            <w:vAlign w:val="center"/>
          </w:tcPr>
          <w:p>
            <w:pPr>
              <w:pStyle w:val="13"/>
              <w:bidi w:val="0"/>
              <w:rPr>
                <w:color w:val="auto"/>
                <w:highlight w:val="none"/>
              </w:rPr>
            </w:pPr>
            <w:r>
              <w:rPr>
                <w:color w:val="auto"/>
                <w:highlight w:val="none"/>
              </w:rPr>
              <w:t>项目</w:t>
            </w:r>
            <w:r>
              <w:rPr>
                <w:rFonts w:hint="eastAsia"/>
                <w:color w:val="auto"/>
                <w:highlight w:val="none"/>
              </w:rPr>
              <w:t>实施</w:t>
            </w:r>
          </w:p>
        </w:tc>
        <w:tc>
          <w:tcPr>
            <w:tcW w:w="404" w:type="pct"/>
            <w:vMerge w:val="restart"/>
            <w:shd w:val="clear" w:color="auto" w:fill="FFFFFF"/>
            <w:vAlign w:val="center"/>
          </w:tcPr>
          <w:p>
            <w:pPr>
              <w:pStyle w:val="13"/>
              <w:bidi w:val="0"/>
              <w:rPr>
                <w:color w:val="auto"/>
                <w:highlight w:val="none"/>
              </w:rPr>
            </w:pPr>
            <w:r>
              <w:rPr>
                <w:rFonts w:hint="eastAsia"/>
                <w:color w:val="auto"/>
                <w:highlight w:val="none"/>
              </w:rPr>
              <w:t>实施</w:t>
            </w:r>
            <w:r>
              <w:rPr>
                <w:color w:val="auto"/>
                <w:highlight w:val="none"/>
              </w:rPr>
              <w:t>依据充分性</w:t>
            </w:r>
          </w:p>
        </w:tc>
        <w:tc>
          <w:tcPr>
            <w:tcW w:w="1399" w:type="pct"/>
            <w:vMerge w:val="restart"/>
            <w:shd w:val="clear" w:color="auto" w:fill="FFFFFF"/>
            <w:vAlign w:val="center"/>
          </w:tcPr>
          <w:p>
            <w:pPr>
              <w:pStyle w:val="13"/>
              <w:bidi w:val="0"/>
              <w:rPr>
                <w:color w:val="auto"/>
                <w:highlight w:val="none"/>
              </w:rPr>
            </w:pPr>
            <w:r>
              <w:rPr>
                <w:color w:val="auto"/>
                <w:sz w:val="20"/>
                <w:szCs w:val="21"/>
                <w:highlight w:val="none"/>
              </w:rPr>
              <w:t>项目</w:t>
            </w:r>
            <w:r>
              <w:rPr>
                <w:rFonts w:hint="eastAsia"/>
                <w:color w:val="auto"/>
                <w:sz w:val="20"/>
                <w:szCs w:val="21"/>
                <w:highlight w:val="none"/>
              </w:rPr>
              <w:t>实施</w:t>
            </w:r>
            <w:r>
              <w:rPr>
                <w:color w:val="auto"/>
                <w:sz w:val="20"/>
                <w:szCs w:val="21"/>
                <w:highlight w:val="none"/>
              </w:rPr>
              <w:t>是否符合法律法规、相关政策、发展规划以及部门职责，用以反映和考核项目</w:t>
            </w:r>
            <w:r>
              <w:rPr>
                <w:rFonts w:hint="eastAsia"/>
                <w:color w:val="auto"/>
                <w:sz w:val="20"/>
                <w:szCs w:val="21"/>
                <w:highlight w:val="none"/>
              </w:rPr>
              <w:t>实施</w:t>
            </w:r>
            <w:r>
              <w:rPr>
                <w:color w:val="auto"/>
                <w:sz w:val="20"/>
                <w:szCs w:val="21"/>
                <w:highlight w:val="none"/>
              </w:rPr>
              <w:t>依据情况。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①项目</w:t>
            </w:r>
            <w:r>
              <w:rPr>
                <w:rFonts w:hint="eastAsia"/>
                <w:color w:val="auto"/>
                <w:highlight w:val="none"/>
              </w:rPr>
              <w:t>实施</w:t>
            </w:r>
            <w:r>
              <w:rPr>
                <w:color w:val="auto"/>
                <w:highlight w:val="none"/>
              </w:rPr>
              <w:t>是否符合国家法律法规、国民经济发展规划和相关政策；</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sz w:val="18"/>
                <w:szCs w:val="20"/>
                <w:highlight w:val="none"/>
              </w:rPr>
              <w:t>②项目</w:t>
            </w:r>
            <w:r>
              <w:rPr>
                <w:rFonts w:hint="eastAsia"/>
                <w:color w:val="auto"/>
                <w:sz w:val="18"/>
                <w:szCs w:val="20"/>
                <w:highlight w:val="none"/>
              </w:rPr>
              <w:t>实施</w:t>
            </w:r>
            <w:r>
              <w:rPr>
                <w:color w:val="auto"/>
                <w:sz w:val="18"/>
                <w:szCs w:val="20"/>
                <w:highlight w:val="none"/>
              </w:rPr>
              <w:t>是否符合行业发展规划和政策要求；</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③项目</w:t>
            </w:r>
            <w:r>
              <w:rPr>
                <w:rFonts w:hint="eastAsia"/>
                <w:color w:val="auto"/>
                <w:highlight w:val="none"/>
              </w:rPr>
              <w:t>实施</w:t>
            </w:r>
            <w:r>
              <w:rPr>
                <w:color w:val="auto"/>
                <w:highlight w:val="none"/>
              </w:rPr>
              <w:t>是否与部门职责范围相符，属于部门履职所需；</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④项目是否属于公共财政支持范围，是否符合中央、地方事权支出责任划分原则；</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⑤项目是否与相关部门同类项目或部门内部相关项目重复。</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restart"/>
            <w:shd w:val="clear" w:color="auto" w:fill="FFFFFF"/>
            <w:vAlign w:val="center"/>
          </w:tcPr>
          <w:p>
            <w:pPr>
              <w:pStyle w:val="13"/>
              <w:bidi w:val="0"/>
              <w:rPr>
                <w:color w:val="auto"/>
                <w:highlight w:val="none"/>
              </w:rPr>
            </w:pPr>
            <w:r>
              <w:rPr>
                <w:rFonts w:hint="eastAsia"/>
                <w:color w:val="auto"/>
                <w:highlight w:val="none"/>
              </w:rPr>
              <w:t>实施</w:t>
            </w:r>
            <w:r>
              <w:rPr>
                <w:color w:val="auto"/>
                <w:highlight w:val="none"/>
              </w:rPr>
              <w:t>程序规范性</w:t>
            </w:r>
          </w:p>
        </w:tc>
        <w:tc>
          <w:tcPr>
            <w:tcW w:w="1399" w:type="pct"/>
            <w:vMerge w:val="restart"/>
            <w:shd w:val="clear" w:color="auto" w:fill="FFFFFF"/>
            <w:vAlign w:val="center"/>
          </w:tcPr>
          <w:p>
            <w:pPr>
              <w:pStyle w:val="13"/>
              <w:bidi w:val="0"/>
              <w:rPr>
                <w:color w:val="auto"/>
                <w:highlight w:val="none"/>
              </w:rPr>
            </w:pPr>
            <w:r>
              <w:rPr>
                <w:color w:val="auto"/>
                <w:highlight w:val="none"/>
              </w:rPr>
              <w:t>项目申请、设立过程是否符合相关要求，用以反映和考核项目</w:t>
            </w:r>
            <w:r>
              <w:rPr>
                <w:rFonts w:hint="eastAsia"/>
                <w:color w:val="auto"/>
                <w:highlight w:val="none"/>
              </w:rPr>
              <w:t>实施</w:t>
            </w:r>
            <w:r>
              <w:rPr>
                <w:color w:val="auto"/>
                <w:highlight w:val="none"/>
              </w:rPr>
              <w:t>的规范情况。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①项目是否按照规定的程序申请设立；</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②审批文件、材料是否符合相关要求；</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restart"/>
            <w:shd w:val="clear" w:color="auto" w:fill="FFFFFF"/>
            <w:vAlign w:val="center"/>
          </w:tcPr>
          <w:p>
            <w:pPr>
              <w:pStyle w:val="13"/>
              <w:bidi w:val="0"/>
              <w:rPr>
                <w:color w:val="auto"/>
                <w:highlight w:val="none"/>
              </w:rPr>
            </w:pPr>
            <w:r>
              <w:rPr>
                <w:color w:val="auto"/>
                <w:highlight w:val="none"/>
              </w:rPr>
              <w:t>绩效目标</w:t>
            </w:r>
          </w:p>
        </w:tc>
        <w:tc>
          <w:tcPr>
            <w:tcW w:w="404" w:type="pct"/>
            <w:vMerge w:val="restart"/>
            <w:shd w:val="clear" w:color="auto" w:fill="FFFFFF"/>
            <w:vAlign w:val="center"/>
          </w:tcPr>
          <w:p>
            <w:pPr>
              <w:pStyle w:val="13"/>
              <w:bidi w:val="0"/>
              <w:rPr>
                <w:color w:val="auto"/>
                <w:highlight w:val="none"/>
              </w:rPr>
            </w:pPr>
            <w:r>
              <w:rPr>
                <w:color w:val="auto"/>
                <w:highlight w:val="none"/>
              </w:rPr>
              <w:t>绩效目标合理性</w:t>
            </w:r>
          </w:p>
        </w:tc>
        <w:tc>
          <w:tcPr>
            <w:tcW w:w="1399" w:type="pct"/>
            <w:vMerge w:val="restart"/>
            <w:shd w:val="clear" w:color="auto" w:fill="FFFFFF"/>
            <w:vAlign w:val="center"/>
          </w:tcPr>
          <w:p>
            <w:pPr>
              <w:pStyle w:val="13"/>
              <w:bidi w:val="0"/>
              <w:rPr>
                <w:color w:val="auto"/>
                <w:highlight w:val="none"/>
              </w:rPr>
            </w:pPr>
            <w:r>
              <w:rPr>
                <w:color w:val="auto"/>
                <w:highlight w:val="none"/>
              </w:rPr>
              <w:t>项目所设定的绩效目标是否依据充分，是否符合客观实际，用以反映和考核项目绩效目标与项目实施的相符情况。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①项目是否有绩效目标；</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sz w:val="18"/>
                <w:szCs w:val="20"/>
                <w:highlight w:val="none"/>
              </w:rPr>
              <w:t>②项目绩效目标与实际工作内容是否具有相关性；</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③项目预期产出效益和效果是否符合正常的业绩水平；</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sz w:val="18"/>
                <w:szCs w:val="20"/>
                <w:highlight w:val="none"/>
              </w:rPr>
              <w:t>④是否与预算确定的项目投资额或资金量相匹配</w:t>
            </w:r>
            <w:r>
              <w:rPr>
                <w:color w:val="auto"/>
                <w:highlight w:val="none"/>
              </w:rPr>
              <w:t>。</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restart"/>
            <w:shd w:val="clear" w:color="auto" w:fill="FFFFFF"/>
            <w:vAlign w:val="center"/>
          </w:tcPr>
          <w:p>
            <w:pPr>
              <w:pStyle w:val="13"/>
              <w:bidi w:val="0"/>
              <w:rPr>
                <w:color w:val="auto"/>
                <w:highlight w:val="none"/>
              </w:rPr>
            </w:pPr>
            <w:r>
              <w:rPr>
                <w:color w:val="auto"/>
                <w:highlight w:val="none"/>
              </w:rPr>
              <w:t>绩效指标明确性</w:t>
            </w:r>
          </w:p>
        </w:tc>
        <w:tc>
          <w:tcPr>
            <w:tcW w:w="1399" w:type="pct"/>
            <w:vMerge w:val="restart"/>
            <w:shd w:val="clear" w:color="auto" w:fill="FFFFFF"/>
            <w:vAlign w:val="center"/>
          </w:tcPr>
          <w:p>
            <w:pPr>
              <w:pStyle w:val="13"/>
              <w:bidi w:val="0"/>
              <w:rPr>
                <w:color w:val="auto"/>
                <w:highlight w:val="none"/>
              </w:rPr>
            </w:pPr>
            <w:r>
              <w:rPr>
                <w:color w:val="auto"/>
                <w:highlight w:val="none"/>
              </w:rPr>
              <w:t>依据绩效目标设定的绩效指标是否清晰、细化、可衡量等，用以反映和考核项目绩效目标的明细化情况。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sz w:val="16"/>
                <w:szCs w:val="18"/>
                <w:highlight w:val="none"/>
              </w:rPr>
              <w:t>①是否将项目绩效目标细化分解为具体的绩效指标</w:t>
            </w:r>
            <w:r>
              <w:rPr>
                <w:color w:val="auto"/>
                <w:highlight w:val="none"/>
              </w:rPr>
              <w:t>；</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sz w:val="20"/>
                <w:szCs w:val="21"/>
                <w:highlight w:val="none"/>
              </w:rPr>
              <w:t>②是否通过清晰、可衡量的指标值予以体现；</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③是否与项目目标任务数或计划数相对应。</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restart"/>
            <w:shd w:val="clear" w:color="auto" w:fill="FFFFFF"/>
            <w:vAlign w:val="center"/>
          </w:tcPr>
          <w:p>
            <w:pPr>
              <w:pStyle w:val="13"/>
              <w:bidi w:val="0"/>
              <w:rPr>
                <w:color w:val="auto"/>
                <w:highlight w:val="none"/>
              </w:rPr>
            </w:pPr>
            <w:r>
              <w:rPr>
                <w:color w:val="auto"/>
                <w:highlight w:val="none"/>
              </w:rPr>
              <w:t>资金投入</w:t>
            </w:r>
          </w:p>
        </w:tc>
        <w:tc>
          <w:tcPr>
            <w:tcW w:w="404" w:type="pct"/>
            <w:vMerge w:val="restart"/>
            <w:shd w:val="clear" w:color="auto" w:fill="FFFFFF"/>
            <w:vAlign w:val="center"/>
          </w:tcPr>
          <w:p>
            <w:pPr>
              <w:pStyle w:val="13"/>
              <w:bidi w:val="0"/>
              <w:rPr>
                <w:color w:val="auto"/>
                <w:highlight w:val="none"/>
              </w:rPr>
            </w:pPr>
            <w:r>
              <w:rPr>
                <w:color w:val="auto"/>
                <w:highlight w:val="none"/>
              </w:rPr>
              <w:t>预算编制科学性</w:t>
            </w:r>
          </w:p>
        </w:tc>
        <w:tc>
          <w:tcPr>
            <w:tcW w:w="1399" w:type="pct"/>
            <w:vMerge w:val="restart"/>
            <w:shd w:val="clear" w:color="auto" w:fill="FFFFFF"/>
            <w:vAlign w:val="center"/>
          </w:tcPr>
          <w:p>
            <w:pPr>
              <w:pStyle w:val="13"/>
              <w:bidi w:val="0"/>
              <w:rPr>
                <w:color w:val="auto"/>
                <w:highlight w:val="none"/>
              </w:rPr>
            </w:pPr>
            <w:r>
              <w:rPr>
                <w:color w:val="auto"/>
                <w:highlight w:val="none"/>
              </w:rPr>
              <w:t>项目预算编制是否经过科学论证、有明确标准，资金额度与年度目标是否相适应，用以反映和考核项目预算编制的科学性、合理性情况。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①预算编制是否经过科学论证；</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②预算内容与项目内容是否匹配；</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sz w:val="16"/>
                <w:szCs w:val="18"/>
                <w:highlight w:val="none"/>
              </w:rPr>
              <w:t>③预算额度测算依据是否充分，是否按照标准编制；</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④预算确定的项目投资额或资金量是否与工作任务相匹配。</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restart"/>
            <w:shd w:val="clear" w:color="auto" w:fill="FFFFFF"/>
            <w:vAlign w:val="center"/>
          </w:tcPr>
          <w:p>
            <w:pPr>
              <w:pStyle w:val="13"/>
              <w:bidi w:val="0"/>
              <w:rPr>
                <w:color w:val="auto"/>
                <w:highlight w:val="none"/>
              </w:rPr>
            </w:pPr>
            <w:r>
              <w:rPr>
                <w:color w:val="auto"/>
                <w:highlight w:val="none"/>
              </w:rPr>
              <w:t>资金分配合理性</w:t>
            </w:r>
          </w:p>
        </w:tc>
        <w:tc>
          <w:tcPr>
            <w:tcW w:w="1399" w:type="pct"/>
            <w:vMerge w:val="restart"/>
            <w:shd w:val="clear" w:color="auto" w:fill="FFFFFF"/>
            <w:vAlign w:val="center"/>
          </w:tcPr>
          <w:p>
            <w:pPr>
              <w:pStyle w:val="13"/>
              <w:bidi w:val="0"/>
              <w:rPr>
                <w:color w:val="auto"/>
                <w:highlight w:val="none"/>
              </w:rPr>
            </w:pPr>
            <w:r>
              <w:rPr>
                <w:color w:val="auto"/>
                <w:highlight w:val="none"/>
              </w:rPr>
              <w:t>项目预算资金分配是否有测算依据，与补助单位或地方实际是否相适应，用以反映和考核项目预算资金分配的科学性、合理性情况。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①预算资金分配依据是否充分；</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②资金分配额度是否合理，与</w:t>
            </w:r>
            <w:r>
              <w:rPr>
                <w:rFonts w:hint="eastAsia"/>
                <w:color w:val="auto"/>
                <w:highlight w:val="none"/>
              </w:rPr>
              <w:t>补助</w:t>
            </w:r>
            <w:r>
              <w:rPr>
                <w:color w:val="auto"/>
                <w:highlight w:val="none"/>
              </w:rPr>
              <w:t>项目单位或地方实际是否相适应。</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restart"/>
            <w:shd w:val="clear" w:color="auto" w:fill="FFFFFF"/>
            <w:vAlign w:val="center"/>
          </w:tcPr>
          <w:p>
            <w:pPr>
              <w:pStyle w:val="13"/>
              <w:bidi w:val="0"/>
              <w:rPr>
                <w:color w:val="auto"/>
                <w:highlight w:val="none"/>
              </w:rPr>
            </w:pPr>
            <w:r>
              <w:rPr>
                <w:color w:val="auto"/>
                <w:highlight w:val="none"/>
              </w:rPr>
              <w:t>过程</w:t>
            </w:r>
          </w:p>
        </w:tc>
        <w:tc>
          <w:tcPr>
            <w:tcW w:w="359" w:type="pct"/>
            <w:vMerge w:val="restart"/>
            <w:shd w:val="clear" w:color="auto" w:fill="FFFFFF"/>
            <w:vAlign w:val="center"/>
          </w:tcPr>
          <w:p>
            <w:pPr>
              <w:pStyle w:val="13"/>
              <w:bidi w:val="0"/>
              <w:rPr>
                <w:color w:val="auto"/>
                <w:highlight w:val="none"/>
              </w:rPr>
            </w:pPr>
            <w:r>
              <w:rPr>
                <w:color w:val="auto"/>
                <w:highlight w:val="none"/>
              </w:rPr>
              <w:t>资金管理</w:t>
            </w:r>
          </w:p>
        </w:tc>
        <w:tc>
          <w:tcPr>
            <w:tcW w:w="404" w:type="pct"/>
            <w:vMerge w:val="restart"/>
            <w:shd w:val="clear" w:color="auto" w:fill="FFFFFF"/>
            <w:vAlign w:val="center"/>
          </w:tcPr>
          <w:p>
            <w:pPr>
              <w:pStyle w:val="13"/>
              <w:bidi w:val="0"/>
              <w:rPr>
                <w:color w:val="auto"/>
                <w:highlight w:val="none"/>
              </w:rPr>
            </w:pPr>
            <w:r>
              <w:rPr>
                <w:color w:val="auto"/>
                <w:highlight w:val="none"/>
              </w:rPr>
              <w:t>资金到位率</w:t>
            </w:r>
          </w:p>
        </w:tc>
        <w:tc>
          <w:tcPr>
            <w:tcW w:w="1399" w:type="pct"/>
            <w:vMerge w:val="restart"/>
            <w:shd w:val="clear" w:color="auto" w:fill="FFFFFF"/>
            <w:vAlign w:val="center"/>
          </w:tcPr>
          <w:p>
            <w:pPr>
              <w:pStyle w:val="13"/>
              <w:bidi w:val="0"/>
              <w:rPr>
                <w:color w:val="auto"/>
                <w:highlight w:val="none"/>
              </w:rPr>
            </w:pPr>
            <w:r>
              <w:rPr>
                <w:color w:val="auto"/>
                <w:highlight w:val="none"/>
              </w:rPr>
              <w:t>实际到位资金与预算资金的比率，用以反映和考核资金落实情况对项目实施的总体保障程度。</w:t>
            </w:r>
          </w:p>
        </w:tc>
        <w:tc>
          <w:tcPr>
            <w:tcW w:w="2212" w:type="pct"/>
            <w:shd w:val="clear" w:color="auto" w:fill="FFFFFF"/>
            <w:vAlign w:val="center"/>
          </w:tcPr>
          <w:p>
            <w:pPr>
              <w:pStyle w:val="13"/>
              <w:bidi w:val="0"/>
              <w:rPr>
                <w:color w:val="auto"/>
                <w:highlight w:val="none"/>
              </w:rPr>
            </w:pPr>
            <w:r>
              <w:rPr>
                <w:color w:val="auto"/>
                <w:highlight w:val="none"/>
              </w:rPr>
              <w:t>资金到位率=（实际到位资金/预算资金）×100%。</w:t>
            </w:r>
          </w:p>
        </w:tc>
        <w:tc>
          <w:tcPr>
            <w:tcW w:w="272" w:type="pct"/>
            <w:vMerge w:val="restart"/>
            <w:noWrap/>
            <w:vAlign w:val="center"/>
          </w:tcPr>
          <w:p>
            <w:pPr>
              <w:pStyle w:val="13"/>
              <w:bidi w:val="0"/>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实际到位资金：一定时期（本年度或项目期）内落实到具体项目的资金。</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预算资金：一定时期（本年度或项目期）内预算安排到具体项目的资金。</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restart"/>
            <w:shd w:val="clear" w:color="auto" w:fill="FFFFFF"/>
            <w:vAlign w:val="center"/>
          </w:tcPr>
          <w:p>
            <w:pPr>
              <w:pStyle w:val="13"/>
              <w:bidi w:val="0"/>
              <w:rPr>
                <w:color w:val="auto"/>
                <w:highlight w:val="none"/>
              </w:rPr>
            </w:pPr>
            <w:r>
              <w:rPr>
                <w:color w:val="auto"/>
                <w:highlight w:val="none"/>
              </w:rPr>
              <w:t>预算执行率</w:t>
            </w:r>
          </w:p>
        </w:tc>
        <w:tc>
          <w:tcPr>
            <w:tcW w:w="1399" w:type="pct"/>
            <w:vMerge w:val="restart"/>
            <w:shd w:val="clear" w:color="auto" w:fill="FFFFFF"/>
            <w:vAlign w:val="center"/>
          </w:tcPr>
          <w:p>
            <w:pPr>
              <w:pStyle w:val="13"/>
              <w:bidi w:val="0"/>
              <w:rPr>
                <w:color w:val="auto"/>
                <w:highlight w:val="none"/>
              </w:rPr>
            </w:pPr>
            <w:r>
              <w:rPr>
                <w:color w:val="auto"/>
                <w:highlight w:val="none"/>
              </w:rPr>
              <w:t>项目预算资金是否按照计划执行，用以反映或考核项目预算执行情况。</w:t>
            </w:r>
          </w:p>
        </w:tc>
        <w:tc>
          <w:tcPr>
            <w:tcW w:w="2212" w:type="pct"/>
            <w:shd w:val="clear" w:color="auto" w:fill="FFFFFF"/>
            <w:vAlign w:val="center"/>
          </w:tcPr>
          <w:p>
            <w:pPr>
              <w:pStyle w:val="13"/>
              <w:bidi w:val="0"/>
              <w:rPr>
                <w:color w:val="auto"/>
                <w:highlight w:val="none"/>
              </w:rPr>
            </w:pPr>
            <w:r>
              <w:rPr>
                <w:color w:val="auto"/>
                <w:highlight w:val="none"/>
              </w:rPr>
              <w:t>预算执行率=（实际支出资金/实际到位资金）×100%。</w:t>
            </w:r>
          </w:p>
        </w:tc>
        <w:tc>
          <w:tcPr>
            <w:tcW w:w="272" w:type="pct"/>
            <w:vMerge w:val="restart"/>
            <w:noWrap/>
            <w:vAlign w:val="center"/>
          </w:tcPr>
          <w:p>
            <w:pPr>
              <w:pStyle w:val="13"/>
              <w:bidi w:val="0"/>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实际支出资金：一定时期（本年度或项目期）内项目实际拨付的资金。</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restart"/>
            <w:shd w:val="clear" w:color="auto" w:fill="FFFFFF"/>
            <w:vAlign w:val="center"/>
          </w:tcPr>
          <w:p>
            <w:pPr>
              <w:pStyle w:val="13"/>
              <w:bidi w:val="0"/>
              <w:rPr>
                <w:color w:val="auto"/>
                <w:highlight w:val="none"/>
              </w:rPr>
            </w:pPr>
            <w:r>
              <w:rPr>
                <w:color w:val="auto"/>
                <w:highlight w:val="none"/>
              </w:rPr>
              <w:t>资金使用合规性</w:t>
            </w:r>
          </w:p>
        </w:tc>
        <w:tc>
          <w:tcPr>
            <w:tcW w:w="1399" w:type="pct"/>
            <w:vMerge w:val="restart"/>
            <w:shd w:val="clear" w:color="auto" w:fill="FFFFFF"/>
            <w:vAlign w:val="center"/>
          </w:tcPr>
          <w:p>
            <w:pPr>
              <w:pStyle w:val="13"/>
              <w:bidi w:val="0"/>
              <w:rPr>
                <w:color w:val="auto"/>
                <w:highlight w:val="none"/>
              </w:rPr>
            </w:pPr>
            <w:r>
              <w:rPr>
                <w:color w:val="auto"/>
                <w:highlight w:val="none"/>
              </w:rPr>
              <w:t>项目资金使用是否符合相关的财务管理制度规定，用以反映和考核项目资金的规范运行情况。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①是否符合国家财经法规和财务管理制度以及有关专项资金管理办法的规定；</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②资金的拨付是否有完整的审批程序和手续；</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③是否符合项目预算批复或合同规定的用途；</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④是否存在截留、挤占、挪用、虚列支出等情况。</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restart"/>
            <w:shd w:val="clear" w:color="auto" w:fill="FFFFFF"/>
            <w:vAlign w:val="center"/>
          </w:tcPr>
          <w:p>
            <w:pPr>
              <w:pStyle w:val="13"/>
              <w:bidi w:val="0"/>
              <w:rPr>
                <w:color w:val="auto"/>
                <w:highlight w:val="none"/>
              </w:rPr>
            </w:pPr>
            <w:r>
              <w:rPr>
                <w:color w:val="auto"/>
                <w:highlight w:val="none"/>
              </w:rPr>
              <w:t>组织实施</w:t>
            </w:r>
          </w:p>
        </w:tc>
        <w:tc>
          <w:tcPr>
            <w:tcW w:w="404" w:type="pct"/>
            <w:vMerge w:val="restart"/>
            <w:shd w:val="clear" w:color="auto" w:fill="FFFFFF"/>
            <w:vAlign w:val="center"/>
          </w:tcPr>
          <w:p>
            <w:pPr>
              <w:pStyle w:val="13"/>
              <w:bidi w:val="0"/>
              <w:rPr>
                <w:color w:val="auto"/>
                <w:highlight w:val="none"/>
              </w:rPr>
            </w:pPr>
            <w:r>
              <w:rPr>
                <w:color w:val="auto"/>
                <w:highlight w:val="none"/>
              </w:rPr>
              <w:t>管理制度健全性</w:t>
            </w:r>
          </w:p>
        </w:tc>
        <w:tc>
          <w:tcPr>
            <w:tcW w:w="1399" w:type="pct"/>
            <w:vMerge w:val="restart"/>
            <w:shd w:val="clear" w:color="auto" w:fill="FFFFFF"/>
            <w:vAlign w:val="center"/>
          </w:tcPr>
          <w:p>
            <w:pPr>
              <w:pStyle w:val="13"/>
              <w:bidi w:val="0"/>
              <w:rPr>
                <w:color w:val="auto"/>
                <w:highlight w:val="none"/>
              </w:rPr>
            </w:pPr>
            <w:r>
              <w:rPr>
                <w:color w:val="auto"/>
                <w:highlight w:val="none"/>
              </w:rPr>
              <w:t>项目实施单位的财务和业务管理制度是否健全，用以反映和考核财务和业务管理制度对项目顺利实施的保障情况。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①是否已制定或具有相应的财务和业务管理制度；</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②财务和业务管理制度是否合法、合规、完整。</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restart"/>
            <w:shd w:val="clear" w:color="auto" w:fill="FFFFFF"/>
            <w:vAlign w:val="center"/>
          </w:tcPr>
          <w:p>
            <w:pPr>
              <w:pStyle w:val="13"/>
              <w:bidi w:val="0"/>
              <w:rPr>
                <w:color w:val="auto"/>
                <w:highlight w:val="none"/>
              </w:rPr>
            </w:pPr>
            <w:r>
              <w:rPr>
                <w:color w:val="auto"/>
                <w:highlight w:val="none"/>
              </w:rPr>
              <w:t>制度执行有效性</w:t>
            </w:r>
          </w:p>
        </w:tc>
        <w:tc>
          <w:tcPr>
            <w:tcW w:w="1399" w:type="pct"/>
            <w:vMerge w:val="restart"/>
            <w:shd w:val="clear" w:color="auto" w:fill="FFFFFF"/>
            <w:vAlign w:val="center"/>
          </w:tcPr>
          <w:p>
            <w:pPr>
              <w:pStyle w:val="13"/>
              <w:bidi w:val="0"/>
              <w:rPr>
                <w:color w:val="auto"/>
                <w:highlight w:val="none"/>
              </w:rPr>
            </w:pPr>
            <w:r>
              <w:rPr>
                <w:color w:val="auto"/>
                <w:highlight w:val="none"/>
              </w:rPr>
              <w:t>项目实施是否符合相关管理规定，用以反映和考核相关管理制度的有效执行情况。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①是否遵守相关法律法规和相关管理规定；</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②项目调整及支出调整手续是否完备；</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restart"/>
            <w:shd w:val="clear" w:color="auto" w:fill="FFFFFF"/>
            <w:vAlign w:val="center"/>
          </w:tcPr>
          <w:p>
            <w:pPr>
              <w:pStyle w:val="13"/>
              <w:bidi w:val="0"/>
              <w:rPr>
                <w:color w:val="auto"/>
                <w:highlight w:val="none"/>
              </w:rPr>
            </w:pPr>
            <w:r>
              <w:rPr>
                <w:color w:val="auto"/>
                <w:highlight w:val="none"/>
              </w:rPr>
              <w:t>产出</w:t>
            </w:r>
          </w:p>
        </w:tc>
        <w:tc>
          <w:tcPr>
            <w:tcW w:w="359" w:type="pct"/>
            <w:vMerge w:val="restart"/>
            <w:shd w:val="clear" w:color="auto" w:fill="FFFFFF"/>
            <w:vAlign w:val="center"/>
          </w:tcPr>
          <w:p>
            <w:pPr>
              <w:pStyle w:val="13"/>
              <w:bidi w:val="0"/>
              <w:rPr>
                <w:color w:val="auto"/>
                <w:highlight w:val="none"/>
              </w:rPr>
            </w:pPr>
            <w:r>
              <w:rPr>
                <w:color w:val="auto"/>
                <w:highlight w:val="none"/>
              </w:rPr>
              <w:t>产出数量</w:t>
            </w:r>
          </w:p>
        </w:tc>
        <w:tc>
          <w:tcPr>
            <w:tcW w:w="404" w:type="pct"/>
            <w:vMerge w:val="restart"/>
            <w:shd w:val="clear" w:color="auto" w:fill="FFFFFF"/>
            <w:vAlign w:val="center"/>
          </w:tcPr>
          <w:p>
            <w:pPr>
              <w:pStyle w:val="13"/>
              <w:bidi w:val="0"/>
              <w:rPr>
                <w:color w:val="auto"/>
                <w:highlight w:val="none"/>
              </w:rPr>
            </w:pPr>
            <w:r>
              <w:rPr>
                <w:color w:val="auto"/>
                <w:highlight w:val="none"/>
              </w:rPr>
              <w:t>实际完成率</w:t>
            </w:r>
          </w:p>
        </w:tc>
        <w:tc>
          <w:tcPr>
            <w:tcW w:w="1399" w:type="pct"/>
            <w:vMerge w:val="restart"/>
            <w:shd w:val="clear" w:color="auto" w:fill="FFFFFF"/>
            <w:vAlign w:val="center"/>
          </w:tcPr>
          <w:p>
            <w:pPr>
              <w:pStyle w:val="13"/>
              <w:bidi w:val="0"/>
              <w:rPr>
                <w:color w:val="auto"/>
                <w:highlight w:val="none"/>
              </w:rPr>
            </w:pPr>
            <w:r>
              <w:rPr>
                <w:color w:val="auto"/>
                <w:highlight w:val="none"/>
              </w:rPr>
              <w:t>项目实施的实际产出数与计划产出数的比率，用以反映和考核项目产出数量目标的实现程度。</w:t>
            </w:r>
          </w:p>
        </w:tc>
        <w:tc>
          <w:tcPr>
            <w:tcW w:w="2212" w:type="pct"/>
            <w:shd w:val="clear" w:color="auto" w:fill="FFFFFF"/>
            <w:vAlign w:val="center"/>
          </w:tcPr>
          <w:p>
            <w:pPr>
              <w:pStyle w:val="13"/>
              <w:bidi w:val="0"/>
              <w:rPr>
                <w:color w:val="auto"/>
                <w:highlight w:val="none"/>
              </w:rPr>
            </w:pPr>
            <w:r>
              <w:rPr>
                <w:color w:val="auto"/>
                <w:highlight w:val="none"/>
              </w:rPr>
              <w:t>实际完成率=（实际产出数/计划产出数）×100%。</w:t>
            </w:r>
          </w:p>
        </w:tc>
        <w:tc>
          <w:tcPr>
            <w:tcW w:w="272" w:type="pct"/>
            <w:vMerge w:val="restart"/>
            <w:noWrap/>
            <w:vAlign w:val="center"/>
          </w:tcPr>
          <w:p>
            <w:pPr>
              <w:pStyle w:val="13"/>
              <w:bidi w:val="0"/>
              <w:ind w:firstLine="0" w:firstLineChars="0"/>
              <w:rPr>
                <w:color w:val="auto"/>
                <w:highlight w:val="none"/>
              </w:rPr>
            </w:pPr>
            <w:r>
              <w:rPr>
                <w:rFonts w:hint="eastAsia"/>
                <w:color w:val="auto"/>
                <w:highlight w:val="no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实际产出数：一定时期（本年度或项目期）内项目实际产出的产品或提供的服务数量。</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计划产出数：项目绩效目标确定的在一定时期（本年度或项目期）内计划产出的产品或提供的服务数量。</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restart"/>
            <w:shd w:val="clear" w:color="auto" w:fill="FFFFFF"/>
            <w:vAlign w:val="center"/>
          </w:tcPr>
          <w:p>
            <w:pPr>
              <w:pStyle w:val="13"/>
              <w:bidi w:val="0"/>
              <w:rPr>
                <w:color w:val="auto"/>
                <w:highlight w:val="none"/>
              </w:rPr>
            </w:pPr>
            <w:r>
              <w:rPr>
                <w:color w:val="auto"/>
                <w:highlight w:val="none"/>
              </w:rPr>
              <w:t>产出质量</w:t>
            </w:r>
          </w:p>
        </w:tc>
        <w:tc>
          <w:tcPr>
            <w:tcW w:w="404" w:type="pct"/>
            <w:vMerge w:val="restart"/>
            <w:shd w:val="clear" w:color="auto" w:fill="FFFFFF"/>
            <w:vAlign w:val="center"/>
          </w:tcPr>
          <w:p>
            <w:pPr>
              <w:pStyle w:val="13"/>
              <w:bidi w:val="0"/>
              <w:rPr>
                <w:color w:val="auto"/>
                <w:highlight w:val="none"/>
              </w:rPr>
            </w:pPr>
            <w:r>
              <w:rPr>
                <w:color w:val="auto"/>
                <w:highlight w:val="none"/>
              </w:rPr>
              <w:t>质量达标率</w:t>
            </w:r>
          </w:p>
        </w:tc>
        <w:tc>
          <w:tcPr>
            <w:tcW w:w="1399" w:type="pct"/>
            <w:vMerge w:val="restart"/>
            <w:shd w:val="clear" w:color="auto" w:fill="FFFFFF"/>
            <w:vAlign w:val="center"/>
          </w:tcPr>
          <w:p>
            <w:pPr>
              <w:pStyle w:val="13"/>
              <w:bidi w:val="0"/>
              <w:rPr>
                <w:color w:val="auto"/>
                <w:highlight w:val="none"/>
              </w:rPr>
            </w:pPr>
            <w:r>
              <w:rPr>
                <w:color w:val="auto"/>
                <w:highlight w:val="none"/>
              </w:rPr>
              <w:t>项目完成的质量达标产出数与实际产出数的比率，用以反映和考核项目产出质量目标的实现程度。</w:t>
            </w:r>
          </w:p>
        </w:tc>
        <w:tc>
          <w:tcPr>
            <w:tcW w:w="2212" w:type="pct"/>
            <w:shd w:val="clear" w:color="auto" w:fill="FFFFFF"/>
            <w:vAlign w:val="center"/>
          </w:tcPr>
          <w:p>
            <w:pPr>
              <w:pStyle w:val="13"/>
              <w:bidi w:val="0"/>
              <w:rPr>
                <w:color w:val="auto"/>
                <w:highlight w:val="none"/>
              </w:rPr>
            </w:pPr>
            <w:r>
              <w:rPr>
                <w:color w:val="auto"/>
                <w:highlight w:val="none"/>
              </w:rPr>
              <w:t>质量达标率=（质量达标产出数/实际产出数）×100%。</w:t>
            </w:r>
          </w:p>
        </w:tc>
        <w:tc>
          <w:tcPr>
            <w:tcW w:w="272" w:type="pct"/>
            <w:vMerge w:val="restart"/>
            <w:noWrap/>
            <w:vAlign w:val="center"/>
          </w:tcPr>
          <w:p>
            <w:pPr>
              <w:pStyle w:val="13"/>
              <w:bidi w:val="0"/>
              <w:ind w:firstLine="0" w:firstLineChars="0"/>
              <w:rPr>
                <w:color w:val="auto"/>
                <w:highlight w:val="none"/>
              </w:rPr>
            </w:pPr>
            <w:r>
              <w:rPr>
                <w:rFonts w:hint="eastAsia"/>
                <w:color w:val="auto"/>
                <w:highlight w:val="no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restart"/>
            <w:shd w:val="clear" w:color="auto" w:fill="FFFFFF"/>
            <w:vAlign w:val="center"/>
          </w:tcPr>
          <w:p>
            <w:pPr>
              <w:pStyle w:val="13"/>
              <w:bidi w:val="0"/>
              <w:rPr>
                <w:color w:val="auto"/>
                <w:highlight w:val="none"/>
              </w:rPr>
            </w:pPr>
            <w:r>
              <w:rPr>
                <w:color w:val="auto"/>
                <w:highlight w:val="none"/>
              </w:rPr>
              <w:t>产出时效</w:t>
            </w:r>
          </w:p>
        </w:tc>
        <w:tc>
          <w:tcPr>
            <w:tcW w:w="404" w:type="pct"/>
            <w:vMerge w:val="restart"/>
            <w:shd w:val="clear" w:color="auto" w:fill="FFFFFF"/>
            <w:vAlign w:val="center"/>
          </w:tcPr>
          <w:p>
            <w:pPr>
              <w:pStyle w:val="13"/>
              <w:bidi w:val="0"/>
              <w:rPr>
                <w:color w:val="auto"/>
                <w:highlight w:val="none"/>
              </w:rPr>
            </w:pPr>
            <w:r>
              <w:rPr>
                <w:color w:val="auto"/>
                <w:highlight w:val="none"/>
              </w:rPr>
              <w:t>完成及时性</w:t>
            </w:r>
          </w:p>
        </w:tc>
        <w:tc>
          <w:tcPr>
            <w:tcW w:w="1399" w:type="pct"/>
            <w:vMerge w:val="restart"/>
            <w:shd w:val="clear" w:color="auto" w:fill="FFFFFF"/>
            <w:vAlign w:val="center"/>
          </w:tcPr>
          <w:p>
            <w:pPr>
              <w:pStyle w:val="13"/>
              <w:bidi w:val="0"/>
              <w:rPr>
                <w:color w:val="auto"/>
                <w:highlight w:val="none"/>
              </w:rPr>
            </w:pPr>
            <w:r>
              <w:rPr>
                <w:color w:val="auto"/>
                <w:highlight w:val="none"/>
              </w:rPr>
              <w:t>项目实际完成时间与计划完成时间的比较，用以反映和考核项目产出时效目标的实现程度。</w:t>
            </w:r>
          </w:p>
        </w:tc>
        <w:tc>
          <w:tcPr>
            <w:tcW w:w="2212" w:type="pct"/>
            <w:shd w:val="clear" w:color="auto" w:fill="FFFFFF"/>
            <w:vAlign w:val="center"/>
          </w:tcPr>
          <w:p>
            <w:pPr>
              <w:pStyle w:val="13"/>
              <w:bidi w:val="0"/>
              <w:rPr>
                <w:color w:val="auto"/>
                <w:highlight w:val="none"/>
              </w:rPr>
            </w:pPr>
            <w:r>
              <w:rPr>
                <w:color w:val="auto"/>
                <w:highlight w:val="none"/>
              </w:rPr>
              <w:t>实际完成时间：项目实施单位完成该项目实际所耗用的时间。</w:t>
            </w:r>
          </w:p>
        </w:tc>
        <w:tc>
          <w:tcPr>
            <w:tcW w:w="272" w:type="pct"/>
            <w:vMerge w:val="restart"/>
            <w:noWrap/>
            <w:vAlign w:val="center"/>
          </w:tcPr>
          <w:p>
            <w:pPr>
              <w:pStyle w:val="13"/>
              <w:bidi w:val="0"/>
              <w:ind w:firstLine="0" w:firstLineChars="0"/>
              <w:rPr>
                <w:rFonts w:hint="default"/>
                <w:color w:val="auto"/>
                <w:highlight w:val="none"/>
                <w:lang w:val="en-US"/>
              </w:rPr>
            </w:pPr>
            <w:r>
              <w:rPr>
                <w:rFonts w:hint="eastAsia"/>
                <w:color w:val="auto"/>
                <w:highlight w:val="no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计划完成时间：按照项目实施计划或相关规定完成该项目所需的时间。</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352" w:type="pct"/>
            <w:shd w:val="clear" w:color="auto" w:fill="FFFFFF"/>
            <w:vAlign w:val="center"/>
          </w:tcPr>
          <w:p>
            <w:pPr>
              <w:pStyle w:val="13"/>
              <w:bidi w:val="0"/>
              <w:rPr>
                <w:color w:val="auto"/>
                <w:highlight w:val="none"/>
              </w:rPr>
            </w:pPr>
            <w:r>
              <w:rPr>
                <w:rFonts w:hint="default"/>
                <w:color w:val="auto"/>
                <w:highlight w:val="none"/>
              </w:rPr>
              <w:t>成本</w:t>
            </w:r>
          </w:p>
        </w:tc>
        <w:tc>
          <w:tcPr>
            <w:tcW w:w="359" w:type="pct"/>
            <w:shd w:val="clear" w:color="auto" w:fill="FFFFFF"/>
            <w:vAlign w:val="center"/>
          </w:tcPr>
          <w:p>
            <w:pPr>
              <w:pStyle w:val="13"/>
              <w:bidi w:val="0"/>
              <w:rPr>
                <w:rFonts w:hint="default"/>
                <w:color w:val="auto"/>
                <w:highlight w:val="none"/>
                <w:lang w:val="en-US" w:eastAsia="zh-CN"/>
              </w:rPr>
            </w:pPr>
            <w:r>
              <w:rPr>
                <w:rFonts w:hint="default"/>
                <w:color w:val="auto"/>
                <w:highlight w:val="none"/>
              </w:rPr>
              <w:t>产出成本</w:t>
            </w:r>
          </w:p>
        </w:tc>
        <w:tc>
          <w:tcPr>
            <w:tcW w:w="404" w:type="pct"/>
            <w:shd w:val="clear" w:color="auto" w:fill="FFFFFF"/>
            <w:vAlign w:val="center"/>
          </w:tcPr>
          <w:p>
            <w:pPr>
              <w:pStyle w:val="13"/>
              <w:bidi w:val="0"/>
              <w:rPr>
                <w:rFonts w:hint="default"/>
                <w:color w:val="auto"/>
                <w:highlight w:val="none"/>
                <w:lang w:val="en-US" w:eastAsia="zh-CN"/>
              </w:rPr>
            </w:pPr>
            <w:r>
              <w:rPr>
                <w:rFonts w:hint="default"/>
                <w:color w:val="auto"/>
                <w:highlight w:val="none"/>
              </w:rPr>
              <w:t>成本节约率</w:t>
            </w:r>
          </w:p>
        </w:tc>
        <w:tc>
          <w:tcPr>
            <w:tcW w:w="1399" w:type="pct"/>
            <w:shd w:val="clear" w:color="auto" w:fill="FFFFFF"/>
            <w:vAlign w:val="center"/>
          </w:tcPr>
          <w:p>
            <w:pPr>
              <w:pStyle w:val="13"/>
              <w:bidi w:val="0"/>
              <w:rPr>
                <w:rFonts w:hint="default"/>
                <w:color w:val="auto"/>
                <w:highlight w:val="none"/>
                <w:lang w:val="en-US" w:eastAsia="zh-CN"/>
              </w:rPr>
            </w:pPr>
            <w:r>
              <w:rPr>
                <w:rFonts w:hint="default"/>
                <w:color w:val="auto"/>
                <w:highlight w:val="none"/>
              </w:rPr>
              <w:t>完成项目计划工作目标的实际节约成本与计划成本的比率，用以反映和考核项目的成本节约程度。</w:t>
            </w:r>
          </w:p>
        </w:tc>
        <w:tc>
          <w:tcPr>
            <w:tcW w:w="2212" w:type="pct"/>
            <w:shd w:val="clear" w:color="auto" w:fill="FFFFFF"/>
            <w:vAlign w:val="center"/>
          </w:tcPr>
          <w:p>
            <w:pPr>
              <w:pStyle w:val="13"/>
              <w:bidi w:val="0"/>
              <w:rPr>
                <w:rFonts w:hint="default"/>
                <w:color w:val="auto"/>
                <w:highlight w:val="none"/>
              </w:rPr>
            </w:pPr>
            <w:r>
              <w:rPr>
                <w:rFonts w:hint="default"/>
                <w:color w:val="auto"/>
                <w:highlight w:val="none"/>
              </w:rPr>
              <w:t>成本节约率=〔（计划成本</w:t>
            </w:r>
            <w:r>
              <w:rPr>
                <w:rFonts w:hint="default"/>
                <w:color w:val="auto"/>
                <w:highlight w:val="none"/>
                <w:lang w:eastAsia="zh-CN"/>
              </w:rPr>
              <w:t>－</w:t>
            </w:r>
            <w:r>
              <w:rPr>
                <w:rFonts w:hint="default"/>
                <w:color w:val="auto"/>
                <w:highlight w:val="none"/>
              </w:rPr>
              <w:t>实际成本）/计划成本〕×100%。</w:t>
            </w:r>
          </w:p>
          <w:p>
            <w:pPr>
              <w:pStyle w:val="13"/>
              <w:bidi w:val="0"/>
              <w:rPr>
                <w:rFonts w:hint="default"/>
                <w:color w:val="auto"/>
                <w:highlight w:val="none"/>
              </w:rPr>
            </w:pPr>
            <w:r>
              <w:rPr>
                <w:rFonts w:hint="default"/>
                <w:color w:val="auto"/>
                <w:highlight w:val="none"/>
              </w:rPr>
              <w:t>实际成本：项目实施单位如期、保质、保量完成既定工作目标实际所耗费的支出。</w:t>
            </w:r>
          </w:p>
          <w:p>
            <w:pPr>
              <w:pStyle w:val="13"/>
              <w:bidi w:val="0"/>
              <w:rPr>
                <w:rFonts w:hint="default"/>
                <w:color w:val="auto"/>
                <w:highlight w:val="none"/>
                <w:lang w:val="en-US" w:eastAsia="zh-CN"/>
              </w:rPr>
            </w:pPr>
            <w:r>
              <w:rPr>
                <w:rFonts w:hint="default"/>
                <w:color w:val="auto"/>
                <w:highlight w:val="none"/>
              </w:rPr>
              <w:t>计划成本：项目实施单位为完成工作目标计划安排的支出，一般以项目预算为参考。</w:t>
            </w:r>
          </w:p>
        </w:tc>
        <w:tc>
          <w:tcPr>
            <w:tcW w:w="272" w:type="pct"/>
            <w:noWrap/>
            <w:vAlign w:val="center"/>
          </w:tcPr>
          <w:p>
            <w:pPr>
              <w:pStyle w:val="13"/>
              <w:bidi w:val="0"/>
              <w:ind w:firstLine="0" w:firstLineChars="0"/>
              <w:rPr>
                <w:rFonts w:hint="default" w:ascii="Times New Roman" w:hAnsi="Times New Roman" w:eastAsia="仿宋_GB2312" w:cs="Times New Roman"/>
                <w:color w:val="auto"/>
                <w:kern w:val="44"/>
                <w:sz w:val="18"/>
                <w:szCs w:val="18"/>
                <w:highlight w:val="none"/>
                <w:lang w:val="en-US" w:eastAsia="zh-CN" w:bidi="ar-SA"/>
              </w:rPr>
            </w:pPr>
            <w:r>
              <w:rPr>
                <w:rFonts w:hint="eastAsia"/>
                <w:color w:val="auto"/>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352" w:type="pct"/>
            <w:vMerge w:val="restart"/>
            <w:shd w:val="clear" w:color="auto" w:fill="FFFFFF"/>
            <w:vAlign w:val="center"/>
          </w:tcPr>
          <w:p>
            <w:pPr>
              <w:pStyle w:val="13"/>
              <w:bidi w:val="0"/>
              <w:rPr>
                <w:color w:val="auto"/>
                <w:highlight w:val="none"/>
              </w:rPr>
            </w:pPr>
            <w:r>
              <w:rPr>
                <w:color w:val="auto"/>
                <w:highlight w:val="none"/>
              </w:rPr>
              <w:t>效益</w:t>
            </w:r>
          </w:p>
        </w:tc>
        <w:tc>
          <w:tcPr>
            <w:tcW w:w="359" w:type="pct"/>
            <w:vMerge w:val="restart"/>
            <w:shd w:val="clear" w:color="auto" w:fill="FFFFFF"/>
            <w:vAlign w:val="center"/>
          </w:tcPr>
          <w:p>
            <w:pPr>
              <w:pStyle w:val="13"/>
              <w:bidi w:val="0"/>
              <w:rPr>
                <w:color w:val="auto"/>
                <w:highlight w:val="none"/>
              </w:rPr>
            </w:pPr>
            <w:r>
              <w:rPr>
                <w:color w:val="auto"/>
                <w:highlight w:val="none"/>
              </w:rPr>
              <w:t>项目效益</w:t>
            </w:r>
          </w:p>
        </w:tc>
        <w:tc>
          <w:tcPr>
            <w:tcW w:w="404" w:type="pct"/>
            <w:shd w:val="clear" w:color="auto" w:fill="FFFFFF"/>
            <w:vAlign w:val="center"/>
          </w:tcPr>
          <w:p>
            <w:pPr>
              <w:pStyle w:val="13"/>
              <w:bidi w:val="0"/>
              <w:rPr>
                <w:color w:val="auto"/>
                <w:highlight w:val="none"/>
              </w:rPr>
            </w:pPr>
            <w:r>
              <w:rPr>
                <w:color w:val="auto"/>
                <w:highlight w:val="none"/>
              </w:rPr>
              <w:t>实施效益</w:t>
            </w:r>
          </w:p>
        </w:tc>
        <w:tc>
          <w:tcPr>
            <w:tcW w:w="1399" w:type="pct"/>
            <w:shd w:val="clear" w:color="auto" w:fill="FFFFFF"/>
            <w:vAlign w:val="center"/>
          </w:tcPr>
          <w:p>
            <w:pPr>
              <w:pStyle w:val="13"/>
              <w:bidi w:val="0"/>
              <w:rPr>
                <w:color w:val="auto"/>
                <w:highlight w:val="none"/>
              </w:rPr>
            </w:pPr>
            <w:r>
              <w:rPr>
                <w:color w:val="auto"/>
                <w:highlight w:val="none"/>
              </w:rPr>
              <w:t>项目实施所产生的效益。</w:t>
            </w:r>
          </w:p>
        </w:tc>
        <w:tc>
          <w:tcPr>
            <w:tcW w:w="2212" w:type="pct"/>
            <w:shd w:val="clear" w:color="auto" w:fill="FFFFFF"/>
            <w:vAlign w:val="center"/>
          </w:tcPr>
          <w:p>
            <w:pPr>
              <w:pStyle w:val="13"/>
              <w:bidi w:val="0"/>
              <w:rPr>
                <w:color w:val="auto"/>
                <w:highlight w:val="none"/>
              </w:rPr>
            </w:pPr>
            <w:r>
              <w:rPr>
                <w:color w:val="auto"/>
                <w:highlight w:val="none"/>
              </w:rPr>
              <w:t>项目实施所产生的社会效益、经济效益、生态效益、可持续影响等。可根据项目实际情况有选择地设置和细化。</w:t>
            </w:r>
          </w:p>
        </w:tc>
        <w:tc>
          <w:tcPr>
            <w:tcW w:w="272" w:type="pct"/>
            <w:noWrap/>
            <w:vAlign w:val="center"/>
          </w:tcPr>
          <w:p>
            <w:pPr>
              <w:pStyle w:val="13"/>
              <w:bidi w:val="0"/>
              <w:rPr>
                <w:color w:val="auto"/>
                <w:highlight w:val="none"/>
              </w:rPr>
            </w:pPr>
            <w:r>
              <w:rPr>
                <w:color w:val="auto"/>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shd w:val="clear" w:color="auto" w:fill="FFFFFF"/>
            <w:vAlign w:val="center"/>
          </w:tcPr>
          <w:p>
            <w:pPr>
              <w:pStyle w:val="13"/>
              <w:bidi w:val="0"/>
              <w:rPr>
                <w:color w:val="auto"/>
                <w:highlight w:val="none"/>
              </w:rPr>
            </w:pPr>
            <w:r>
              <w:rPr>
                <w:color w:val="auto"/>
                <w:highlight w:val="none"/>
              </w:rPr>
              <w:t>满意度</w:t>
            </w:r>
          </w:p>
        </w:tc>
        <w:tc>
          <w:tcPr>
            <w:tcW w:w="1399" w:type="pct"/>
            <w:shd w:val="clear" w:color="auto" w:fill="FFFFFF"/>
            <w:vAlign w:val="center"/>
          </w:tcPr>
          <w:p>
            <w:pPr>
              <w:pStyle w:val="13"/>
              <w:bidi w:val="0"/>
              <w:rPr>
                <w:color w:val="auto"/>
                <w:highlight w:val="none"/>
              </w:rPr>
            </w:pPr>
            <w:r>
              <w:rPr>
                <w:color w:val="auto"/>
                <w:highlight w:val="none"/>
              </w:rPr>
              <w:t>社会公众或服务对象对项目实施效果的满意程度。</w:t>
            </w:r>
          </w:p>
        </w:tc>
        <w:tc>
          <w:tcPr>
            <w:tcW w:w="2212" w:type="pct"/>
            <w:shd w:val="clear" w:color="auto" w:fill="FFFFFF"/>
            <w:vAlign w:val="center"/>
          </w:tcPr>
          <w:p>
            <w:pPr>
              <w:pStyle w:val="13"/>
              <w:bidi w:val="0"/>
              <w:rPr>
                <w:color w:val="auto"/>
                <w:highlight w:val="none"/>
              </w:rPr>
            </w:pPr>
            <w:r>
              <w:rPr>
                <w:color w:val="auto"/>
                <w:highlight w:val="none"/>
              </w:rPr>
              <w:t>社会公众或服务对象是指因该项目实施而受到影响的部门（单位）、群体或个人。一般采取社会调查的方式。</w:t>
            </w:r>
          </w:p>
        </w:tc>
        <w:tc>
          <w:tcPr>
            <w:tcW w:w="272" w:type="pct"/>
            <w:noWrap/>
            <w:vAlign w:val="center"/>
          </w:tcPr>
          <w:p>
            <w:pPr>
              <w:pStyle w:val="13"/>
              <w:bidi w:val="0"/>
              <w:rPr>
                <w:color w:val="auto"/>
                <w:highlight w:val="none"/>
              </w:rPr>
            </w:pPr>
            <w:r>
              <w:rPr>
                <w:color w:val="auto"/>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727" w:type="pct"/>
            <w:gridSpan w:val="5"/>
            <w:noWrap/>
            <w:vAlign w:val="center"/>
          </w:tcPr>
          <w:p>
            <w:pPr>
              <w:pStyle w:val="13"/>
              <w:bidi w:val="0"/>
              <w:rPr>
                <w:color w:val="auto"/>
                <w:highlight w:val="none"/>
              </w:rPr>
            </w:pPr>
            <w:r>
              <w:rPr>
                <w:color w:val="auto"/>
                <w:highlight w:val="none"/>
              </w:rPr>
              <w:t>合计</w:t>
            </w:r>
          </w:p>
        </w:tc>
        <w:tc>
          <w:tcPr>
            <w:tcW w:w="272" w:type="pct"/>
            <w:noWrap/>
            <w:vAlign w:val="center"/>
          </w:tcPr>
          <w:p>
            <w:pPr>
              <w:pStyle w:val="13"/>
              <w:bidi w:val="0"/>
              <w:rPr>
                <w:color w:val="auto"/>
                <w:highlight w:val="none"/>
              </w:rPr>
            </w:pPr>
            <w:r>
              <w:rPr>
                <w:color w:val="auto"/>
                <w:highlight w:val="none"/>
              </w:rPr>
              <w:t>100</w:t>
            </w:r>
          </w:p>
        </w:tc>
      </w:tr>
    </w:tbl>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rPr>
          <w:rFonts w:hint="eastAsia"/>
          <w:b/>
          <w:bCs/>
          <w:color w:val="auto"/>
          <w:highlight w:val="none"/>
        </w:rPr>
      </w:pPr>
      <w:r>
        <w:rPr>
          <w:rFonts w:hint="eastAsia"/>
          <w:b/>
          <w:bCs/>
          <w:color w:val="auto"/>
          <w:highlight w:val="none"/>
        </w:rPr>
        <w:t>3、绩效评价方法</w:t>
      </w:r>
      <w:bookmarkEnd w:id="8"/>
      <w:bookmarkEnd w:id="9"/>
    </w:p>
    <w:p>
      <w:pPr>
        <w:bidi w:val="0"/>
        <w:rPr>
          <w:color w:val="auto"/>
          <w:highlight w:val="none"/>
        </w:rPr>
      </w:pPr>
      <w:r>
        <w:rPr>
          <w:rFonts w:hint="eastAsia"/>
          <w:color w:val="auto"/>
          <w:highlight w:val="none"/>
        </w:rPr>
        <w:t>结合</w:t>
      </w:r>
      <w:r>
        <w:rPr>
          <w:rFonts w:hint="eastAsia"/>
          <w:color w:val="auto"/>
          <w:highlight w:val="none"/>
          <w:lang w:val="en-US" w:eastAsia="zh-CN"/>
        </w:rPr>
        <w:t>2023年</w:t>
      </w:r>
      <w:r>
        <w:rPr>
          <w:rFonts w:hint="eastAsia"/>
          <w:color w:val="auto"/>
          <w:highlight w:val="none"/>
        </w:rPr>
        <w:t>阿克苏普乡供热技术改造项目的特点，本次评价主要运用比较法，</w:t>
      </w:r>
      <w:r>
        <w:rPr>
          <w:rFonts w:hint="eastAsia"/>
          <w:color w:val="auto"/>
          <w:highlight w:val="none"/>
          <w:lang w:val="en-US" w:eastAsia="zh-CN"/>
        </w:rPr>
        <w:t>原因是</w:t>
      </w:r>
      <w:r>
        <w:rPr>
          <w:rFonts w:hint="eastAsia"/>
          <w:color w:val="auto"/>
          <w:highlight w:val="none"/>
        </w:rPr>
        <w:t>：本项目绩效评价将项目实施情况即实际完成的采购变压器数量、设备验收合格率</w:t>
      </w:r>
      <w:r>
        <w:rPr>
          <w:rFonts w:hint="eastAsia"/>
          <w:color w:val="auto"/>
          <w:highlight w:val="none"/>
          <w:lang w:val="en-US" w:eastAsia="zh-CN"/>
        </w:rPr>
        <w:t>、</w:t>
      </w:r>
      <w:r>
        <w:rPr>
          <w:rFonts w:hint="eastAsia"/>
          <w:color w:val="auto"/>
          <w:highlight w:val="none"/>
        </w:rPr>
        <w:t>工程完工及时率</w:t>
      </w:r>
      <w:r>
        <w:rPr>
          <w:rFonts w:hint="eastAsia"/>
          <w:color w:val="auto"/>
          <w:highlight w:val="none"/>
          <w:lang w:val="en-US" w:eastAsia="zh-CN"/>
        </w:rPr>
        <w:t>、</w:t>
      </w:r>
      <w:r>
        <w:rPr>
          <w:rFonts w:hint="eastAsia"/>
          <w:color w:val="auto"/>
          <w:highlight w:val="none"/>
        </w:rPr>
        <w:t>采购设备成本</w:t>
      </w:r>
      <w:r>
        <w:rPr>
          <w:rFonts w:hint="eastAsia"/>
          <w:color w:val="auto"/>
          <w:highlight w:val="none"/>
          <w:lang w:val="en-US" w:eastAsia="zh-CN"/>
        </w:rPr>
        <w:t>、</w:t>
      </w:r>
      <w:r>
        <w:rPr>
          <w:rFonts w:hint="eastAsia"/>
          <w:color w:val="auto"/>
          <w:highlight w:val="none"/>
        </w:rPr>
        <w:t>改善供热基础设施</w:t>
      </w:r>
      <w:r>
        <w:rPr>
          <w:rFonts w:hint="eastAsia"/>
          <w:color w:val="auto"/>
          <w:highlight w:val="none"/>
          <w:lang w:val="en-US" w:eastAsia="zh-CN"/>
        </w:rPr>
        <w:t>情况、受益人员满意度等指标与</w:t>
      </w:r>
      <w:r>
        <w:rPr>
          <w:rFonts w:hint="eastAsia"/>
          <w:color w:val="auto"/>
          <w:highlight w:val="none"/>
        </w:rPr>
        <w:t>年初设定的</w:t>
      </w:r>
      <w:r>
        <w:rPr>
          <w:rFonts w:hint="eastAsia"/>
          <w:color w:val="auto"/>
          <w:highlight w:val="none"/>
          <w:lang w:val="en-US" w:eastAsia="zh-CN"/>
        </w:rPr>
        <w:t>目标</w:t>
      </w:r>
      <w:r>
        <w:rPr>
          <w:rFonts w:hint="eastAsia"/>
          <w:color w:val="auto"/>
          <w:highlight w:val="none"/>
        </w:rPr>
        <w:t>进行比较。</w:t>
      </w:r>
    </w:p>
    <w:p>
      <w:pPr>
        <w:bidi w:val="0"/>
        <w:rPr>
          <w:b/>
          <w:bCs/>
          <w:color w:val="auto"/>
          <w:highlight w:val="none"/>
        </w:rPr>
      </w:pPr>
      <w:r>
        <w:rPr>
          <w:rFonts w:hint="eastAsia"/>
          <w:b/>
          <w:bCs/>
          <w:color w:val="auto"/>
          <w:highlight w:val="none"/>
        </w:rPr>
        <w:t>4、绩效评价标准</w:t>
      </w:r>
    </w:p>
    <w:p>
      <w:pPr>
        <w:bidi w:val="0"/>
        <w:rPr>
          <w:rFonts w:hint="eastAsia"/>
          <w:color w:val="auto"/>
          <w:highlight w:val="none"/>
        </w:rPr>
      </w:pPr>
      <w:r>
        <w:rPr>
          <w:rFonts w:hint="eastAsia"/>
          <w:color w:val="auto"/>
          <w:highlight w:val="none"/>
        </w:rPr>
        <w:t>绩效评价标准通常包括计划标准、行业标准、历史标准等，用于对绩效指标完成情况进行比较。</w:t>
      </w:r>
    </w:p>
    <w:p>
      <w:pPr>
        <w:bidi w:val="0"/>
        <w:rPr>
          <w:rFonts w:hint="eastAsia"/>
          <w:color w:val="auto"/>
          <w:highlight w:val="none"/>
        </w:rPr>
      </w:pPr>
      <w:r>
        <w:rPr>
          <w:rFonts w:hint="eastAsia"/>
          <w:color w:val="auto"/>
          <w:highlight w:val="none"/>
        </w:rPr>
        <w:t>结合阿克苏普乡供热技术改造项目的特点，本项目绩效评价以预先制定</w:t>
      </w:r>
      <w:r>
        <w:rPr>
          <w:rFonts w:hint="eastAsia"/>
          <w:color w:val="auto"/>
          <w:highlight w:val="none"/>
          <w:lang w:val="en-US" w:eastAsia="zh-CN"/>
        </w:rPr>
        <w:t>采购的变压器数量</w:t>
      </w:r>
      <w:r>
        <w:rPr>
          <w:rFonts w:hint="eastAsia"/>
          <w:color w:val="auto"/>
          <w:highlight w:val="none"/>
        </w:rPr>
        <w:t>为计划数作为评价标准；同时参照有关</w:t>
      </w:r>
      <w:r>
        <w:rPr>
          <w:rFonts w:hint="eastAsia"/>
          <w:color w:val="auto"/>
          <w:highlight w:val="none"/>
          <w:lang w:val="en-US" w:eastAsia="zh-CN"/>
        </w:rPr>
        <w:t>供热技术改造</w:t>
      </w:r>
      <w:r>
        <w:rPr>
          <w:rFonts w:hint="eastAsia"/>
          <w:color w:val="auto"/>
          <w:highlight w:val="none"/>
        </w:rPr>
        <w:t>等同类项目建设的行业标准来制定评价标准。因此，采取的绩效评价标准为：计划标准、行业标准。</w:t>
      </w:r>
    </w:p>
    <w:p>
      <w:pPr>
        <w:pStyle w:val="2"/>
        <w:bidi w:val="0"/>
        <w:rPr>
          <w:color w:val="auto"/>
          <w:highlight w:val="none"/>
        </w:rPr>
      </w:pPr>
      <w:bookmarkStart w:id="10" w:name="_Toc23796"/>
      <w:r>
        <w:rPr>
          <w:rFonts w:hint="eastAsia"/>
          <w:color w:val="auto"/>
          <w:highlight w:val="none"/>
        </w:rPr>
        <w:t>（三）绩效评价工作过程</w:t>
      </w:r>
      <w:bookmarkEnd w:id="10"/>
      <w:bookmarkStart w:id="11" w:name="_Toc17595"/>
      <w:bookmarkStart w:id="12" w:name="_Toc22987"/>
      <w:bookmarkStart w:id="13" w:name="_Toc27442"/>
      <w:bookmarkStart w:id="14" w:name="_Toc30911"/>
    </w:p>
    <w:p>
      <w:pPr>
        <w:bidi w:val="0"/>
        <w:rPr>
          <w:b/>
          <w:bCs/>
          <w:color w:val="auto"/>
          <w:highlight w:val="none"/>
        </w:rPr>
      </w:pPr>
      <w:r>
        <w:rPr>
          <w:rFonts w:hint="eastAsia"/>
          <w:b/>
          <w:bCs/>
          <w:color w:val="auto"/>
          <w:highlight w:val="none"/>
        </w:rPr>
        <w:t>1、前期准备</w:t>
      </w:r>
    </w:p>
    <w:p>
      <w:pPr>
        <w:bidi w:val="0"/>
        <w:rPr>
          <w:color w:val="auto"/>
          <w:highlight w:val="none"/>
        </w:rPr>
      </w:pPr>
      <w:r>
        <w:rPr>
          <w:rFonts w:hint="eastAsia"/>
          <w:bCs/>
          <w:color w:val="auto"/>
          <w:szCs w:val="32"/>
          <w:highlight w:val="none"/>
        </w:rPr>
        <w:t>按照《项目支出绩效评价管理办法》（财预〔2020〕10号）文件要求，</w:t>
      </w:r>
      <w:r>
        <w:rPr>
          <w:rFonts w:hint="eastAsia"/>
          <w:bCs/>
          <w:color w:val="auto"/>
          <w:szCs w:val="32"/>
          <w:highlight w:val="none"/>
          <w:lang w:val="en-US" w:eastAsia="zh-CN"/>
        </w:rPr>
        <w:t>2023年</w:t>
      </w:r>
      <w:r>
        <w:rPr>
          <w:rFonts w:hint="eastAsia"/>
          <w:color w:val="auto"/>
          <w:highlight w:val="none"/>
          <w:lang w:eastAsia="zh-CN"/>
        </w:rPr>
        <w:t>阿克苏普乡供热技术改造项目</w:t>
      </w:r>
      <w:r>
        <w:rPr>
          <w:rFonts w:hint="eastAsia"/>
          <w:bCs/>
          <w:color w:val="auto"/>
          <w:szCs w:val="32"/>
          <w:highlight w:val="none"/>
        </w:rPr>
        <w:t>成立了绩效评价小组，对项目实施的全过程，收集、整理项目实施的相关资料，了解项目实施情况和资金支付情况。从项目内容出发，结合项目预期目标，制定绩效评价的指标体系。</w:t>
      </w:r>
    </w:p>
    <w:p>
      <w:pPr>
        <w:bidi w:val="0"/>
        <w:rPr>
          <w:b/>
          <w:bCs/>
          <w:color w:val="auto"/>
          <w:highlight w:val="none"/>
        </w:rPr>
      </w:pPr>
      <w:r>
        <w:rPr>
          <w:rFonts w:hint="eastAsia"/>
          <w:b/>
          <w:bCs/>
          <w:color w:val="auto"/>
          <w:highlight w:val="none"/>
        </w:rPr>
        <w:t>2、组织实施</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评价的具体实施根据评价指标及评价工作要求，对具体评价内容和不同环节，采用以下取得的资料与评价方式。</w:t>
      </w:r>
    </w:p>
    <w:p>
      <w:pPr>
        <w:bidi w:val="0"/>
        <w:jc w:val="both"/>
        <w:rPr>
          <w:rFonts w:hint="eastAsia"/>
          <w:color w:val="auto"/>
          <w:highlight w:val="none"/>
          <w:lang w:val="en-US" w:eastAsia="zh-CN"/>
        </w:rPr>
      </w:pPr>
      <w:r>
        <w:rPr>
          <w:rFonts w:hint="eastAsia"/>
          <w:color w:val="auto"/>
          <w:highlight w:val="none"/>
        </w:rPr>
        <w:t>（1）</w:t>
      </w:r>
      <w:r>
        <w:rPr>
          <w:rFonts w:hint="eastAsia"/>
          <w:color w:val="auto"/>
          <w:highlight w:val="none"/>
          <w:lang w:val="en-US" w:eastAsia="zh-CN"/>
        </w:rPr>
        <w:t>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3</w:t>
      </w:r>
      <w:r>
        <w:rPr>
          <w:rFonts w:hint="default" w:ascii="Times New Roman" w:hAnsi="Times New Roman" w:eastAsia="仿宋_GB2312" w:cs="Times New Roman"/>
          <w:color w:val="auto"/>
          <w:highlight w:val="none"/>
        </w:rPr>
        <w:t>）问卷调查。选择与项目评价有关的调查对象，设计调查问卷。通过问卷调查，对有关评价内容完成情况进行打分，并根据分值评价绩效目标完成情况，作为对项目评价的依据。</w:t>
      </w:r>
    </w:p>
    <w:p>
      <w:pPr>
        <w:bidi w:val="0"/>
        <w:rPr>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4</w:t>
      </w:r>
      <w:r>
        <w:rPr>
          <w:rFonts w:hint="default" w:ascii="Times New Roman" w:hAnsi="Times New Roman" w:eastAsia="仿宋_GB2312" w:cs="Times New Roman"/>
          <w:color w:val="auto"/>
          <w:highlight w:val="none"/>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b/>
          <w:bCs/>
          <w:color w:val="auto"/>
          <w:highlight w:val="none"/>
        </w:rPr>
      </w:pPr>
      <w:r>
        <w:rPr>
          <w:rFonts w:hint="eastAsia"/>
          <w:b/>
          <w:bCs/>
          <w:color w:val="auto"/>
          <w:highlight w:val="none"/>
        </w:rPr>
        <w:t>3、数据集中分析</w:t>
      </w:r>
      <w:bookmarkEnd w:id="11"/>
      <w:bookmarkEnd w:id="12"/>
      <w:bookmarkEnd w:id="13"/>
      <w:bookmarkEnd w:id="14"/>
    </w:p>
    <w:p>
      <w:pPr>
        <w:bidi w:val="0"/>
        <w:rPr>
          <w:color w:val="auto"/>
          <w:highlight w:val="none"/>
        </w:rPr>
      </w:pPr>
      <w:r>
        <w:rPr>
          <w:rFonts w:hint="eastAsia"/>
          <w:color w:val="auto"/>
          <w:highlight w:val="none"/>
        </w:rPr>
        <w:t>对相关资料，包括资金文件、项目实施方案、相关管理办法，问卷调查等进行集中分析。在查阅大量项目资料的基础上，根据考察、考评的结果进行整理、分析。</w:t>
      </w:r>
      <w:bookmarkStart w:id="15" w:name="_Toc20775"/>
    </w:p>
    <w:p>
      <w:pPr>
        <w:bidi w:val="0"/>
        <w:rPr>
          <w:b/>
          <w:bCs/>
          <w:color w:val="auto"/>
          <w:highlight w:val="none"/>
        </w:rPr>
      </w:pPr>
      <w:r>
        <w:rPr>
          <w:rFonts w:hint="eastAsia"/>
          <w:b/>
          <w:bCs/>
          <w:color w:val="auto"/>
          <w:highlight w:val="none"/>
        </w:rPr>
        <w:t>4、分析总结</w:t>
      </w:r>
      <w:bookmarkEnd w:id="15"/>
    </w:p>
    <w:p>
      <w:pPr>
        <w:bidi w:val="0"/>
        <w:rPr>
          <w:color w:val="auto"/>
          <w:highlight w:val="none"/>
        </w:rPr>
      </w:pPr>
      <w:r>
        <w:rPr>
          <w:rFonts w:hint="eastAsia"/>
          <w:color w:val="auto"/>
          <w:highlight w:val="none"/>
        </w:rPr>
        <w:t>（1）根据部门自评的意见及考察、考评的结果进行整理、分析，撰写绩效评价报告初稿。</w:t>
      </w:r>
    </w:p>
    <w:p>
      <w:pPr>
        <w:bidi w:val="0"/>
        <w:rPr>
          <w:color w:val="auto"/>
          <w:highlight w:val="none"/>
        </w:rPr>
      </w:pPr>
      <w:r>
        <w:rPr>
          <w:rFonts w:hint="eastAsia"/>
          <w:color w:val="auto"/>
          <w:highlight w:val="none"/>
        </w:rPr>
        <w:t>（2）就部门自评报告与部门具体有关科室征求意见，形成最终的绩效评价报告。</w:t>
      </w:r>
    </w:p>
    <w:p>
      <w:pPr>
        <w:pStyle w:val="4"/>
        <w:bidi w:val="0"/>
        <w:rPr>
          <w:color w:val="auto"/>
          <w:highlight w:val="none"/>
        </w:rPr>
      </w:pPr>
      <w:bookmarkStart w:id="16" w:name="_Toc20784"/>
      <w:r>
        <w:rPr>
          <w:rFonts w:hint="eastAsia"/>
          <w:color w:val="auto"/>
          <w:highlight w:val="none"/>
        </w:rPr>
        <w:t>三、综合评价情况及评价结论</w:t>
      </w:r>
      <w:bookmarkEnd w:id="16"/>
    </w:p>
    <w:p>
      <w:pPr>
        <w:bidi w:val="0"/>
        <w:rPr>
          <w:color w:val="auto"/>
          <w:highlight w:val="none"/>
        </w:rPr>
      </w:pPr>
      <w:r>
        <w:rPr>
          <w:rFonts w:hint="eastAsia"/>
          <w:color w:val="auto"/>
          <w:highlight w:val="none"/>
        </w:rPr>
        <w:t>本项目的绩效评价结果为“优”，综合评分100分。</w:t>
      </w:r>
      <w:r>
        <w:rPr>
          <w:rFonts w:hint="default" w:ascii="Times New Roman" w:hAnsi="Times New Roman" w:eastAsia="仿宋_GB2312" w:cs="Times New Roman"/>
          <w:color w:val="auto"/>
          <w:highlight w:val="none"/>
        </w:rPr>
        <w:t>其中项目决策22分，项目过程</w:t>
      </w:r>
      <w:r>
        <w:rPr>
          <w:rFonts w:hint="eastAsia" w:ascii="Times New Roman" w:hAnsi="Times New Roman" w:cs="Times New Roman"/>
          <w:color w:val="auto"/>
          <w:highlight w:val="none"/>
          <w:lang w:val="en-US" w:eastAsia="zh-CN"/>
        </w:rPr>
        <w:t>18</w:t>
      </w:r>
      <w:r>
        <w:rPr>
          <w:rFonts w:hint="default" w:ascii="Times New Roman" w:hAnsi="Times New Roman" w:eastAsia="仿宋_GB2312" w:cs="Times New Roman"/>
          <w:color w:val="auto"/>
          <w:highlight w:val="none"/>
        </w:rPr>
        <w:t>分，项目产出管理得分</w:t>
      </w:r>
      <w:r>
        <w:rPr>
          <w:rFonts w:hint="eastAsia" w:ascii="Times New Roman" w:hAnsi="Times New Roman" w:cs="Times New Roman"/>
          <w:color w:val="auto"/>
          <w:highlight w:val="none"/>
          <w:lang w:val="en-US" w:eastAsia="zh-CN"/>
        </w:rPr>
        <w:t>36</w:t>
      </w:r>
      <w:r>
        <w:rPr>
          <w:rFonts w:hint="default" w:ascii="Times New Roman" w:hAnsi="Times New Roman" w:eastAsia="仿宋_GB2312" w:cs="Times New Roman"/>
          <w:color w:val="auto"/>
          <w:highlight w:val="none"/>
        </w:rPr>
        <w:t>分，</w:t>
      </w:r>
      <w:r>
        <w:rPr>
          <w:rFonts w:hint="eastAsia" w:ascii="Times New Roman" w:hAnsi="Times New Roman" w:cs="Times New Roman"/>
          <w:color w:val="auto"/>
          <w:highlight w:val="none"/>
          <w:lang w:val="en-US" w:eastAsia="zh-CN"/>
        </w:rPr>
        <w:t>项目成本4分，</w:t>
      </w:r>
      <w:r>
        <w:rPr>
          <w:rFonts w:hint="default" w:ascii="Times New Roman" w:hAnsi="Times New Roman" w:eastAsia="仿宋_GB2312" w:cs="Times New Roman"/>
          <w:color w:val="auto"/>
          <w:highlight w:val="none"/>
        </w:rPr>
        <w:t>项目效益20分</w:t>
      </w:r>
      <w:r>
        <w:rPr>
          <w:rFonts w:hint="default" w:ascii="Times New Roman" w:hAnsi="Times New Roman" w:eastAsia="仿宋_GB2312" w:cs="Times New Roman"/>
          <w:color w:val="auto"/>
          <w:highlight w:val="none"/>
          <w:lang w:val="en-US" w:eastAsia="zh-CN"/>
        </w:rPr>
        <w:t>。</w:t>
      </w:r>
      <w:r>
        <w:rPr>
          <w:rFonts w:hint="eastAsia"/>
          <w:color w:val="auto"/>
          <w:highlight w:val="none"/>
        </w:rPr>
        <w:t>各部分权重和绩效汇总分值如下表所示：</w:t>
      </w:r>
    </w:p>
    <w:tbl>
      <w:tblPr>
        <w:tblStyle w:val="10"/>
        <w:tblW w:w="5000" w:type="pct"/>
        <w:jc w:val="center"/>
        <w:tblLayout w:type="autofit"/>
        <w:tblCellMar>
          <w:top w:w="0" w:type="dxa"/>
          <w:left w:w="0" w:type="dxa"/>
          <w:bottom w:w="0" w:type="dxa"/>
          <w:right w:w="0" w:type="dxa"/>
        </w:tblCellMar>
      </w:tblPr>
      <w:tblGrid>
        <w:gridCol w:w="1116"/>
        <w:gridCol w:w="1324"/>
        <w:gridCol w:w="1324"/>
        <w:gridCol w:w="1324"/>
        <w:gridCol w:w="1324"/>
        <w:gridCol w:w="1324"/>
        <w:gridCol w:w="600"/>
      </w:tblGrid>
      <w:tr>
        <w:tblPrEx>
          <w:tblCellMar>
            <w:top w:w="0" w:type="dxa"/>
            <w:left w:w="0" w:type="dxa"/>
            <w:bottom w:w="0" w:type="dxa"/>
            <w:right w:w="0" w:type="dxa"/>
          </w:tblCellMar>
        </w:tblPrEx>
        <w:trPr>
          <w:trHeight w:val="375" w:hRule="atLeast"/>
          <w:jc w:val="center"/>
        </w:trPr>
        <w:tc>
          <w:tcPr>
            <w:tcW w:w="5000" w:type="pct"/>
            <w:gridSpan w:val="7"/>
            <w:tcBorders>
              <w:top w:val="nil"/>
              <w:left w:val="nil"/>
              <w:bottom w:val="nil"/>
              <w:right w:val="nil"/>
            </w:tcBorders>
            <w:noWrap/>
            <w:tcMar>
              <w:top w:w="15" w:type="dxa"/>
              <w:left w:w="15" w:type="dxa"/>
              <w:right w:w="15" w:type="dxa"/>
            </w:tcMar>
            <w:vAlign w:val="center"/>
          </w:tcPr>
          <w:p>
            <w:pPr>
              <w:pStyle w:val="12"/>
              <w:bidi w:val="0"/>
              <w:jc w:val="center"/>
              <w:rPr>
                <w:rFonts w:hint="default" w:ascii="Times New Roman" w:hAnsi="Times New Roman" w:eastAsia="仿宋_GB2312" w:cs="Times New Roman"/>
                <w:color w:val="auto"/>
                <w:highlight w:val="none"/>
              </w:rPr>
            </w:pPr>
            <w:bookmarkStart w:id="17" w:name="_Toc24328"/>
            <w:bookmarkStart w:id="18" w:name="_Toc3703"/>
            <w:bookmarkStart w:id="19" w:name="_Toc16086"/>
            <w:r>
              <w:rPr>
                <w:rFonts w:hint="eastAsia" w:ascii="Times New Roman" w:hAnsi="Times New Roman" w:cs="Times New Roman"/>
                <w:color w:val="auto"/>
                <w:highlight w:val="none"/>
                <w:lang w:eastAsia="zh-CN"/>
              </w:rPr>
              <w:t>2023年阿克苏普乡供热技术提升改造项目</w:t>
            </w:r>
            <w:r>
              <w:rPr>
                <w:rFonts w:hint="default" w:ascii="Times New Roman" w:hAnsi="Times New Roman" w:eastAsia="仿宋_GB2312" w:cs="Times New Roman"/>
                <w:color w:val="auto"/>
                <w:highlight w:val="none"/>
              </w:rPr>
              <w:t>绩效评价</w:t>
            </w:r>
            <w:r>
              <w:rPr>
                <w:rFonts w:hint="default" w:ascii="Times New Roman" w:hAnsi="Times New Roman" w:eastAsia="仿宋_GB2312" w:cs="Times New Roman"/>
                <w:color w:val="auto"/>
                <w:highlight w:val="none"/>
                <w:lang w:val="zh-TW" w:eastAsia="zh-TW"/>
              </w:rPr>
              <w:t>得分表</w:t>
            </w:r>
            <w:bookmarkEnd w:id="17"/>
            <w:bookmarkEnd w:id="18"/>
            <w:bookmarkEnd w:id="19"/>
          </w:p>
        </w:tc>
      </w:tr>
      <w:tr>
        <w:tblPrEx>
          <w:tblCellMar>
            <w:top w:w="0" w:type="dxa"/>
            <w:left w:w="0" w:type="dxa"/>
            <w:bottom w:w="0" w:type="dxa"/>
            <w:right w:w="0" w:type="dxa"/>
          </w:tblCellMar>
        </w:tblPrEx>
        <w:trPr>
          <w:trHeight w:val="375" w:hRule="atLeast"/>
          <w:jc w:val="center"/>
        </w:trPr>
        <w:tc>
          <w:tcPr>
            <w:tcW w:w="670"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指标类别</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1.项目决策</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2.过程管理</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3.项目产出</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4.项目成本</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r>
              <w:rPr>
                <w:rFonts w:hint="eastAsia" w:cs="Times New Roman"/>
                <w:color w:val="auto"/>
                <w:highlight w:val="none"/>
                <w:lang w:val="en-US" w:eastAsia="zh-CN"/>
              </w:rPr>
              <w:t>5</w:t>
            </w:r>
            <w:r>
              <w:rPr>
                <w:rFonts w:hint="default" w:ascii="Times New Roman" w:hAnsi="Times New Roman" w:eastAsia="仿宋_GB2312" w:cs="Times New Roman"/>
                <w:color w:val="auto"/>
                <w:highlight w:val="none"/>
              </w:rPr>
              <w:t>.项目效益</w:t>
            </w:r>
          </w:p>
        </w:tc>
        <w:tc>
          <w:tcPr>
            <w:tcW w:w="358"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r>
              <w:rPr>
                <w:rFonts w:hint="default" w:ascii="Times New Roman" w:hAnsi="Times New Roman" w:eastAsia="仿宋_GB2312" w:cs="Times New Roman"/>
                <w:color w:val="auto"/>
                <w:highlight w:val="none"/>
              </w:rPr>
              <w:t>合计</w:t>
            </w:r>
          </w:p>
        </w:tc>
      </w:tr>
      <w:tr>
        <w:tblPrEx>
          <w:tblCellMar>
            <w:top w:w="0" w:type="dxa"/>
            <w:left w:w="0" w:type="dxa"/>
            <w:bottom w:w="0" w:type="dxa"/>
            <w:right w:w="0" w:type="dxa"/>
          </w:tblCellMar>
        </w:tblPrEx>
        <w:trPr>
          <w:trHeight w:val="441" w:hRule="atLeast"/>
          <w:jc w:val="center"/>
        </w:trPr>
        <w:tc>
          <w:tcPr>
            <w:tcW w:w="670"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权重</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18%</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eastAsia" w:ascii="Times New Roman" w:hAnsi="Times New Roman" w:cs="Times New Roman"/>
                <w:color w:val="auto"/>
                <w:highlight w:val="none"/>
                <w:lang w:val="en-US" w:eastAsia="zh-CN"/>
              </w:rPr>
              <w:t>36</w:t>
            </w:r>
            <w:r>
              <w:rPr>
                <w:rFonts w:hint="default" w:ascii="Times New Roman" w:hAnsi="Times New Roman" w:eastAsia="仿宋_GB2312" w:cs="Times New Roman"/>
                <w:color w:val="auto"/>
                <w:highlight w:val="none"/>
              </w:rPr>
              <w:t>%</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4%</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r>
              <w:rPr>
                <w:rFonts w:hint="default" w:ascii="Times New Roman" w:hAnsi="Times New Roman" w:eastAsia="仿宋_GB2312" w:cs="Times New Roman"/>
                <w:color w:val="auto"/>
                <w:highlight w:val="none"/>
              </w:rPr>
              <w:t>20%</w:t>
            </w:r>
          </w:p>
        </w:tc>
        <w:tc>
          <w:tcPr>
            <w:tcW w:w="358"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r>
              <w:rPr>
                <w:rFonts w:hint="default" w:ascii="Times New Roman" w:hAnsi="Times New Roman" w:eastAsia="仿宋_GB2312" w:cs="Times New Roman"/>
                <w:color w:val="auto"/>
                <w:highlight w:val="none"/>
              </w:rPr>
              <w:t>100</w:t>
            </w:r>
          </w:p>
        </w:tc>
      </w:tr>
      <w:tr>
        <w:tblPrEx>
          <w:tblCellMar>
            <w:top w:w="0" w:type="dxa"/>
            <w:left w:w="0" w:type="dxa"/>
            <w:bottom w:w="0" w:type="dxa"/>
            <w:right w:w="0" w:type="dxa"/>
          </w:tblCellMar>
        </w:tblPrEx>
        <w:trPr>
          <w:trHeight w:val="375" w:hRule="atLeast"/>
          <w:jc w:val="center"/>
        </w:trPr>
        <w:tc>
          <w:tcPr>
            <w:tcW w:w="670"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分值</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18</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36</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4</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r>
              <w:rPr>
                <w:rFonts w:hint="default" w:ascii="Times New Roman" w:hAnsi="Times New Roman" w:eastAsia="仿宋_GB2312" w:cs="Times New Roman"/>
                <w:color w:val="auto"/>
                <w:highlight w:val="none"/>
              </w:rPr>
              <w:t>20</w:t>
            </w:r>
          </w:p>
        </w:tc>
        <w:tc>
          <w:tcPr>
            <w:tcW w:w="358"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r>
              <w:rPr>
                <w:rFonts w:hint="default" w:ascii="Times New Roman" w:hAnsi="Times New Roman" w:eastAsia="仿宋_GB2312" w:cs="Times New Roman"/>
                <w:color w:val="auto"/>
                <w:highlight w:val="none"/>
              </w:rPr>
              <w:t>100</w:t>
            </w:r>
          </w:p>
        </w:tc>
      </w:tr>
      <w:tr>
        <w:tblPrEx>
          <w:tblCellMar>
            <w:top w:w="0" w:type="dxa"/>
            <w:left w:w="0" w:type="dxa"/>
            <w:bottom w:w="0" w:type="dxa"/>
            <w:right w:w="0" w:type="dxa"/>
          </w:tblCellMar>
        </w:tblPrEx>
        <w:trPr>
          <w:trHeight w:val="375" w:hRule="atLeast"/>
          <w:jc w:val="center"/>
        </w:trPr>
        <w:tc>
          <w:tcPr>
            <w:tcW w:w="670"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得分</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18</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36</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4</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r>
              <w:rPr>
                <w:rFonts w:hint="default" w:ascii="Times New Roman" w:hAnsi="Times New Roman" w:eastAsia="仿宋_GB2312" w:cs="Times New Roman"/>
                <w:color w:val="auto"/>
                <w:highlight w:val="none"/>
              </w:rPr>
              <w:t>20</w:t>
            </w:r>
          </w:p>
        </w:tc>
        <w:tc>
          <w:tcPr>
            <w:tcW w:w="358"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r>
              <w:rPr>
                <w:rFonts w:hint="eastAsia" w:cs="Times New Roman"/>
                <w:color w:val="auto"/>
                <w:highlight w:val="none"/>
                <w:lang w:val="en-US" w:eastAsia="zh-CN"/>
              </w:rPr>
              <w:t>100</w:t>
            </w:r>
          </w:p>
        </w:tc>
      </w:tr>
    </w:tbl>
    <w:p>
      <w:pPr>
        <w:bidi w:val="0"/>
        <w:rPr>
          <w:color w:val="auto"/>
          <w:highlight w:val="none"/>
        </w:rPr>
      </w:pPr>
    </w:p>
    <w:p>
      <w:pPr>
        <w:pStyle w:val="4"/>
        <w:bidi w:val="0"/>
        <w:rPr>
          <w:color w:val="auto"/>
          <w:highlight w:val="none"/>
        </w:rPr>
      </w:pPr>
      <w:bookmarkStart w:id="20" w:name="_Toc8960"/>
      <w:r>
        <w:rPr>
          <w:rFonts w:hint="eastAsia"/>
          <w:color w:val="auto"/>
          <w:highlight w:val="none"/>
        </w:rPr>
        <w:t>四、绩效评价指标分析</w:t>
      </w:r>
      <w:bookmarkEnd w:id="20"/>
    </w:p>
    <w:p>
      <w:pPr>
        <w:pStyle w:val="2"/>
        <w:bidi w:val="0"/>
        <w:rPr>
          <w:color w:val="auto"/>
          <w:highlight w:val="none"/>
        </w:rPr>
      </w:pPr>
      <w:bookmarkStart w:id="21" w:name="_Toc3445"/>
      <w:r>
        <w:rPr>
          <w:rFonts w:hint="eastAsia"/>
          <w:color w:val="auto"/>
          <w:highlight w:val="none"/>
        </w:rPr>
        <w:t>（一）项目决策情况</w:t>
      </w:r>
      <w:bookmarkEnd w:id="21"/>
    </w:p>
    <w:p>
      <w:pPr>
        <w:bidi w:val="0"/>
        <w:rPr>
          <w:color w:val="auto"/>
          <w:highlight w:val="none"/>
        </w:rPr>
      </w:pPr>
      <w:r>
        <w:rPr>
          <w:rFonts w:hint="eastAsia"/>
          <w:color w:val="auto"/>
          <w:highlight w:val="none"/>
        </w:rPr>
        <w:t>1、实施依据充分性</w:t>
      </w:r>
    </w:p>
    <w:p>
      <w:pPr>
        <w:bidi w:val="0"/>
        <w:rPr>
          <w:color w:val="auto"/>
          <w:highlight w:val="none"/>
        </w:rPr>
      </w:pPr>
      <w:r>
        <w:rPr>
          <w:rFonts w:hint="eastAsia"/>
          <w:color w:val="auto"/>
          <w:highlight w:val="none"/>
        </w:rPr>
        <w:t>（1）本项目申报和审批符合国家法律法规、国民经济发展规划和相关政策；</w:t>
      </w:r>
    </w:p>
    <w:p>
      <w:pPr>
        <w:bidi w:val="0"/>
        <w:rPr>
          <w:color w:val="auto"/>
          <w:highlight w:val="none"/>
        </w:rPr>
      </w:pPr>
      <w:r>
        <w:rPr>
          <w:rFonts w:hint="eastAsia"/>
          <w:color w:val="auto"/>
          <w:highlight w:val="none"/>
        </w:rPr>
        <w:t>（2）本项目申报和审批符合行业发展规划和政策要求；</w:t>
      </w:r>
    </w:p>
    <w:p>
      <w:pPr>
        <w:bidi w:val="0"/>
        <w:rPr>
          <w:color w:val="auto"/>
          <w:highlight w:val="none"/>
        </w:rPr>
      </w:pPr>
      <w:r>
        <w:rPr>
          <w:rFonts w:hint="eastAsia"/>
          <w:color w:val="auto"/>
          <w:highlight w:val="none"/>
        </w:rPr>
        <w:t>（3）项目</w:t>
      </w:r>
      <w:r>
        <w:rPr>
          <w:rFonts w:hint="eastAsia"/>
          <w:color w:val="auto"/>
          <w:highlight w:val="none"/>
          <w:lang w:val="en-US" w:eastAsia="zh-CN"/>
        </w:rPr>
        <w:t>实施</w:t>
      </w:r>
      <w:r>
        <w:rPr>
          <w:rFonts w:hint="eastAsia"/>
          <w:color w:val="auto"/>
          <w:highlight w:val="none"/>
        </w:rPr>
        <w:t>与部门职责范围相符，属于部门履职所需；</w:t>
      </w:r>
    </w:p>
    <w:p>
      <w:pPr>
        <w:bidi w:val="0"/>
        <w:rPr>
          <w:color w:val="auto"/>
          <w:highlight w:val="none"/>
        </w:rPr>
      </w:pPr>
      <w:r>
        <w:rPr>
          <w:rFonts w:hint="eastAsia"/>
          <w:color w:val="auto"/>
          <w:highlight w:val="none"/>
        </w:rPr>
        <w:t>（4）本项目属于公共财政支持范围，符合中央、地方事权支出责任划分原则；</w:t>
      </w:r>
    </w:p>
    <w:p>
      <w:pPr>
        <w:bidi w:val="0"/>
        <w:rPr>
          <w:color w:val="auto"/>
          <w:highlight w:val="none"/>
        </w:rPr>
      </w:pPr>
      <w:r>
        <w:rPr>
          <w:rFonts w:hint="eastAsia"/>
          <w:color w:val="auto"/>
          <w:highlight w:val="none"/>
        </w:rPr>
        <w:t>（5）本项目与相关部门同类项目或部门内部相关项目</w:t>
      </w:r>
      <w:r>
        <w:rPr>
          <w:rFonts w:hint="eastAsia"/>
          <w:color w:val="auto"/>
          <w:highlight w:val="none"/>
          <w:lang w:val="en-US" w:eastAsia="zh-CN"/>
        </w:rPr>
        <w:t>不</w:t>
      </w:r>
      <w:r>
        <w:rPr>
          <w:rFonts w:hint="eastAsia"/>
          <w:color w:val="auto"/>
          <w:highlight w:val="none"/>
        </w:rPr>
        <w:t>重复。</w:t>
      </w:r>
    </w:p>
    <w:p>
      <w:pPr>
        <w:bidi w:val="0"/>
        <w:rPr>
          <w:color w:val="auto"/>
          <w:highlight w:val="none"/>
        </w:rPr>
      </w:pPr>
      <w:r>
        <w:rPr>
          <w:rFonts w:hint="eastAsia"/>
          <w:color w:val="auto"/>
          <w:highlight w:val="none"/>
        </w:rPr>
        <w:t>本项满分3分，评估得分3分。</w:t>
      </w:r>
    </w:p>
    <w:p>
      <w:pPr>
        <w:bidi w:val="0"/>
        <w:rPr>
          <w:color w:val="auto"/>
          <w:highlight w:val="none"/>
        </w:rPr>
      </w:pPr>
      <w:r>
        <w:rPr>
          <w:rFonts w:hint="eastAsia"/>
          <w:color w:val="auto"/>
          <w:highlight w:val="none"/>
        </w:rPr>
        <w:t>2、实施程序规范性</w:t>
      </w:r>
    </w:p>
    <w:p>
      <w:pPr>
        <w:bidi w:val="0"/>
        <w:rPr>
          <w:color w:val="auto"/>
          <w:highlight w:val="none"/>
        </w:rPr>
      </w:pPr>
      <w:r>
        <w:rPr>
          <w:rFonts w:hint="eastAsia"/>
          <w:bCs/>
          <w:color w:val="auto"/>
          <w:szCs w:val="32"/>
          <w:highlight w:val="none"/>
        </w:rPr>
        <w:t>本项目</w:t>
      </w:r>
      <w:r>
        <w:rPr>
          <w:rFonts w:hint="eastAsia"/>
          <w:color w:val="auto"/>
          <w:spacing w:val="-4"/>
          <w:szCs w:val="32"/>
          <w:highlight w:val="none"/>
          <w:lang w:val="en-US" w:eastAsia="zh-CN"/>
        </w:rPr>
        <w:t>实施</w:t>
      </w:r>
      <w:r>
        <w:rPr>
          <w:rFonts w:hint="eastAsia"/>
          <w:bCs/>
          <w:color w:val="auto"/>
          <w:szCs w:val="32"/>
          <w:highlight w:val="none"/>
        </w:rPr>
        <w:t>资料全，</w:t>
      </w:r>
      <w:r>
        <w:rPr>
          <w:rFonts w:hint="eastAsia"/>
          <w:color w:val="auto"/>
          <w:spacing w:val="-4"/>
          <w:szCs w:val="32"/>
          <w:highlight w:val="none"/>
          <w:lang w:val="en-US" w:eastAsia="zh-CN"/>
        </w:rPr>
        <w:t>实施</w:t>
      </w:r>
      <w:r>
        <w:rPr>
          <w:rFonts w:hint="eastAsia"/>
          <w:bCs/>
          <w:color w:val="auto"/>
          <w:szCs w:val="32"/>
          <w:highlight w:val="none"/>
        </w:rPr>
        <w:t>程序规范；审批文件、材料符合相关要求，事前已经过必要的集体决策，</w:t>
      </w:r>
      <w:r>
        <w:rPr>
          <w:rFonts w:hint="eastAsia"/>
          <w:color w:val="auto"/>
          <w:highlight w:val="none"/>
        </w:rPr>
        <w:t>实施程序规范。</w:t>
      </w:r>
    </w:p>
    <w:p>
      <w:pPr>
        <w:bidi w:val="0"/>
        <w:rPr>
          <w:color w:val="auto"/>
          <w:highlight w:val="none"/>
        </w:rPr>
      </w:pPr>
      <w:r>
        <w:rPr>
          <w:rFonts w:hint="eastAsia"/>
          <w:color w:val="auto"/>
          <w:highlight w:val="none"/>
        </w:rPr>
        <w:t>本项满分3分，评估得分3分。</w:t>
      </w:r>
    </w:p>
    <w:p>
      <w:pPr>
        <w:bidi w:val="0"/>
        <w:rPr>
          <w:color w:val="auto"/>
          <w:highlight w:val="none"/>
        </w:rPr>
      </w:pPr>
      <w:r>
        <w:rPr>
          <w:rFonts w:hint="eastAsia"/>
          <w:color w:val="auto"/>
          <w:highlight w:val="none"/>
        </w:rPr>
        <w:t>3、绩效目标合理性</w:t>
      </w:r>
    </w:p>
    <w:p>
      <w:pPr>
        <w:bidi w:val="0"/>
        <w:rPr>
          <w:color w:val="auto"/>
          <w:highlight w:val="none"/>
        </w:rPr>
      </w:pPr>
      <w:r>
        <w:rPr>
          <w:rFonts w:hint="eastAsia"/>
          <w:color w:val="auto"/>
          <w:highlight w:val="none"/>
          <w:lang w:val="en-US" w:eastAsia="zh-CN"/>
        </w:rPr>
        <w:t>2023年</w:t>
      </w:r>
      <w:r>
        <w:rPr>
          <w:rFonts w:hint="eastAsia"/>
          <w:color w:val="auto"/>
          <w:highlight w:val="none"/>
          <w:lang w:eastAsia="zh-CN"/>
        </w:rPr>
        <w:t>阿克苏普乡供热技术改造项目</w:t>
      </w:r>
      <w:r>
        <w:rPr>
          <w:rFonts w:hint="eastAsia"/>
          <w:color w:val="auto"/>
          <w:highlight w:val="none"/>
        </w:rPr>
        <w:t>设立了项目绩效目标，绩效目标指标设置合理，项目绩效目标与实际工作内容相关性较强；项目预期产出效益和效果符合正常的业绩水平；绩效目标与预算确定的项目投资额相匹配。</w:t>
      </w:r>
    </w:p>
    <w:p>
      <w:pPr>
        <w:bidi w:val="0"/>
        <w:rPr>
          <w:color w:val="auto"/>
          <w:highlight w:val="none"/>
        </w:rPr>
      </w:pPr>
      <w:r>
        <w:rPr>
          <w:rFonts w:hint="eastAsia"/>
          <w:color w:val="auto"/>
          <w:highlight w:val="none"/>
        </w:rPr>
        <w:t>本项满分4分，评估得分4分。</w:t>
      </w:r>
    </w:p>
    <w:p>
      <w:pPr>
        <w:bidi w:val="0"/>
        <w:rPr>
          <w:color w:val="auto"/>
          <w:highlight w:val="none"/>
        </w:rPr>
      </w:pPr>
      <w:r>
        <w:rPr>
          <w:rFonts w:hint="eastAsia"/>
          <w:color w:val="auto"/>
          <w:highlight w:val="none"/>
        </w:rPr>
        <w:t>4、绩效指标明确性</w:t>
      </w:r>
    </w:p>
    <w:p>
      <w:pPr>
        <w:bidi w:val="0"/>
        <w:rPr>
          <w:color w:val="auto"/>
          <w:highlight w:val="none"/>
        </w:rPr>
      </w:pPr>
      <w:r>
        <w:rPr>
          <w:rFonts w:hint="eastAsia"/>
          <w:color w:val="auto"/>
          <w:highlight w:val="none"/>
          <w:lang w:val="en-US" w:eastAsia="zh-CN"/>
        </w:rPr>
        <w:t>2023年</w:t>
      </w:r>
      <w:r>
        <w:rPr>
          <w:rFonts w:hint="eastAsia"/>
          <w:color w:val="auto"/>
          <w:highlight w:val="none"/>
          <w:lang w:eastAsia="zh-CN"/>
        </w:rPr>
        <w:t>阿克苏普乡供热技术改造项目</w:t>
      </w:r>
      <w:r>
        <w:rPr>
          <w:rFonts w:hint="eastAsia"/>
          <w:color w:val="auto"/>
          <w:highlight w:val="none"/>
        </w:rPr>
        <w:t>，设置一级指标</w:t>
      </w:r>
      <w:r>
        <w:rPr>
          <w:rFonts w:hint="eastAsia"/>
          <w:color w:val="auto"/>
          <w:highlight w:val="none"/>
          <w:lang w:val="en-US" w:eastAsia="zh-CN"/>
        </w:rPr>
        <w:t>四</w:t>
      </w:r>
      <w:r>
        <w:rPr>
          <w:rFonts w:hint="eastAsia"/>
          <w:color w:val="auto"/>
          <w:highlight w:val="none"/>
        </w:rPr>
        <w:t>条，二级指标</w:t>
      </w:r>
      <w:r>
        <w:rPr>
          <w:rFonts w:hint="eastAsia"/>
          <w:color w:val="auto"/>
          <w:highlight w:val="none"/>
          <w:lang w:val="en-US" w:eastAsia="zh-CN"/>
        </w:rPr>
        <w:t>七</w:t>
      </w:r>
      <w:r>
        <w:rPr>
          <w:rFonts w:hint="eastAsia"/>
          <w:color w:val="auto"/>
          <w:highlight w:val="none"/>
        </w:rPr>
        <w:t>条，三级指标</w:t>
      </w:r>
      <w:r>
        <w:rPr>
          <w:rFonts w:hint="eastAsia"/>
          <w:color w:val="auto"/>
          <w:highlight w:val="none"/>
          <w:lang w:val="en-US" w:eastAsia="zh-CN"/>
        </w:rPr>
        <w:t>八</w:t>
      </w:r>
      <w:r>
        <w:rPr>
          <w:rFonts w:hint="eastAsia"/>
          <w:color w:val="auto"/>
          <w:highlight w:val="none"/>
        </w:rPr>
        <w:t>条，其中量化指标</w:t>
      </w:r>
      <w:r>
        <w:rPr>
          <w:rFonts w:hint="eastAsia"/>
          <w:color w:val="auto"/>
          <w:highlight w:val="none"/>
          <w:lang w:val="en-US" w:eastAsia="zh-CN"/>
        </w:rPr>
        <w:t>六</w:t>
      </w:r>
      <w:r>
        <w:rPr>
          <w:rFonts w:hint="eastAsia"/>
          <w:color w:val="auto"/>
          <w:highlight w:val="none"/>
        </w:rPr>
        <w:t>条，绩效目标指标设定清晰、可衡量性较强，与项目目标任务计划数对应性较强。</w:t>
      </w:r>
    </w:p>
    <w:p>
      <w:pPr>
        <w:bidi w:val="0"/>
        <w:rPr>
          <w:color w:val="auto"/>
          <w:highlight w:val="none"/>
        </w:rPr>
      </w:pPr>
      <w:r>
        <w:rPr>
          <w:rFonts w:hint="eastAsia"/>
          <w:color w:val="auto"/>
          <w:highlight w:val="none"/>
        </w:rPr>
        <w:t>本项满分4分，评估得分4分。</w:t>
      </w:r>
    </w:p>
    <w:p>
      <w:pPr>
        <w:bidi w:val="0"/>
        <w:rPr>
          <w:color w:val="auto"/>
          <w:highlight w:val="none"/>
        </w:rPr>
      </w:pPr>
      <w:r>
        <w:rPr>
          <w:rFonts w:hint="eastAsia"/>
          <w:color w:val="auto"/>
          <w:highlight w:val="none"/>
        </w:rPr>
        <w:t>5、预算编制科学性</w:t>
      </w:r>
    </w:p>
    <w:p>
      <w:pPr>
        <w:bidi w:val="0"/>
        <w:rPr>
          <w:color w:val="auto"/>
          <w:highlight w:val="none"/>
        </w:rPr>
      </w:pPr>
      <w:r>
        <w:rPr>
          <w:rFonts w:hint="eastAsia"/>
          <w:color w:val="auto"/>
          <w:highlight w:val="none"/>
        </w:rPr>
        <w:t>本项目预算资金</w:t>
      </w:r>
      <w:r>
        <w:rPr>
          <w:rFonts w:hint="eastAsia"/>
          <w:color w:val="auto"/>
          <w:highlight w:val="none"/>
          <w:lang w:val="en-US" w:eastAsia="zh-CN"/>
        </w:rPr>
        <w:t>39.3</w:t>
      </w:r>
      <w:r>
        <w:rPr>
          <w:rFonts w:hint="eastAsia"/>
          <w:color w:val="auto"/>
          <w:highlight w:val="none"/>
        </w:rPr>
        <w:t>万元，来源为</w:t>
      </w:r>
      <w:r>
        <w:rPr>
          <w:rFonts w:hint="eastAsia"/>
          <w:color w:val="auto"/>
          <w:highlight w:val="none"/>
          <w:lang w:val="en-US" w:eastAsia="zh-CN"/>
        </w:rPr>
        <w:t>尉犁县财政本级资金</w:t>
      </w:r>
      <w:r>
        <w:rPr>
          <w:rFonts w:hint="eastAsia"/>
          <w:color w:val="auto"/>
          <w:highlight w:val="none"/>
        </w:rPr>
        <w:t>，</w:t>
      </w:r>
      <w:r>
        <w:rPr>
          <w:rFonts w:hint="eastAsia"/>
          <w:color w:val="auto"/>
          <w:highlight w:val="none"/>
          <w:lang w:val="en-US" w:eastAsia="zh-CN"/>
        </w:rPr>
        <w:t>县本级</w:t>
      </w:r>
      <w:r>
        <w:rPr>
          <w:rFonts w:hint="eastAsia"/>
          <w:color w:val="auto"/>
          <w:highlight w:val="none"/>
        </w:rPr>
        <w:t>资金</w:t>
      </w:r>
      <w:r>
        <w:rPr>
          <w:rFonts w:hint="eastAsia"/>
          <w:color w:val="auto"/>
          <w:highlight w:val="none"/>
          <w:lang w:val="en-US" w:eastAsia="zh-CN"/>
        </w:rPr>
        <w:t>39.3</w:t>
      </w:r>
      <w:r>
        <w:rPr>
          <w:rFonts w:hint="eastAsia"/>
          <w:color w:val="auto"/>
          <w:highlight w:val="none"/>
        </w:rPr>
        <w:t>万元，预算编制较为科学，预算内容与</w:t>
      </w:r>
      <w:r>
        <w:rPr>
          <w:rFonts w:hint="eastAsia"/>
          <w:color w:val="auto"/>
          <w:highlight w:val="none"/>
          <w:lang w:val="en-US" w:eastAsia="zh-CN"/>
        </w:rPr>
        <w:t>2023年阿克苏普乡供热技术改造项目</w:t>
      </w:r>
      <w:r>
        <w:rPr>
          <w:rFonts w:hint="eastAsia"/>
          <w:color w:val="auto"/>
          <w:highlight w:val="none"/>
        </w:rPr>
        <w:t>内容相匹配，预算额度测算依据充分，预算确定的资金量与</w:t>
      </w:r>
      <w:r>
        <w:rPr>
          <w:rFonts w:hint="eastAsia"/>
          <w:color w:val="auto"/>
          <w:highlight w:val="none"/>
          <w:lang w:val="en-US" w:eastAsia="zh-CN"/>
        </w:rPr>
        <w:t>工作量</w:t>
      </w:r>
      <w:r>
        <w:rPr>
          <w:rFonts w:hint="eastAsia"/>
          <w:color w:val="auto"/>
          <w:highlight w:val="none"/>
        </w:rPr>
        <w:t>相匹配。</w:t>
      </w:r>
    </w:p>
    <w:p>
      <w:pPr>
        <w:bidi w:val="0"/>
        <w:rPr>
          <w:color w:val="auto"/>
          <w:highlight w:val="none"/>
        </w:rPr>
      </w:pPr>
      <w:r>
        <w:rPr>
          <w:rFonts w:hint="eastAsia"/>
          <w:color w:val="auto"/>
          <w:highlight w:val="none"/>
        </w:rPr>
        <w:t>本项满分4分，评估得分4分。</w:t>
      </w:r>
    </w:p>
    <w:p>
      <w:pPr>
        <w:bidi w:val="0"/>
        <w:rPr>
          <w:color w:val="auto"/>
          <w:highlight w:val="none"/>
        </w:rPr>
      </w:pPr>
      <w:r>
        <w:rPr>
          <w:rFonts w:hint="eastAsia"/>
          <w:color w:val="auto"/>
          <w:highlight w:val="none"/>
        </w:rPr>
        <w:t>6、资金分配合理性</w:t>
      </w:r>
    </w:p>
    <w:p>
      <w:pPr>
        <w:bidi w:val="0"/>
        <w:rPr>
          <w:color w:val="auto"/>
          <w:highlight w:val="none"/>
        </w:rPr>
      </w:pPr>
      <w:r>
        <w:rPr>
          <w:rFonts w:hint="eastAsia"/>
          <w:color w:val="auto"/>
          <w:highlight w:val="none"/>
        </w:rPr>
        <w:t>本项目预算资金分配依据充分；资金分配额度合理，与项目单位实际相适应。</w:t>
      </w:r>
    </w:p>
    <w:p>
      <w:pPr>
        <w:bidi w:val="0"/>
        <w:rPr>
          <w:color w:val="auto"/>
          <w:highlight w:val="none"/>
        </w:rPr>
      </w:pPr>
      <w:r>
        <w:rPr>
          <w:rFonts w:hint="eastAsia"/>
          <w:color w:val="auto"/>
          <w:highlight w:val="none"/>
        </w:rPr>
        <w:t>本项满分4分，评估得分4分。</w:t>
      </w:r>
    </w:p>
    <w:p>
      <w:pPr>
        <w:pStyle w:val="2"/>
        <w:bidi w:val="0"/>
        <w:rPr>
          <w:color w:val="auto"/>
          <w:highlight w:val="none"/>
        </w:rPr>
      </w:pPr>
      <w:bookmarkStart w:id="22" w:name="_Toc11290"/>
      <w:r>
        <w:rPr>
          <w:rFonts w:hint="eastAsia"/>
          <w:color w:val="auto"/>
          <w:highlight w:val="none"/>
        </w:rPr>
        <w:t>（二）项目过程情况</w:t>
      </w:r>
      <w:bookmarkEnd w:id="22"/>
    </w:p>
    <w:p>
      <w:pPr>
        <w:bidi w:val="0"/>
        <w:rPr>
          <w:color w:val="auto"/>
          <w:highlight w:val="none"/>
        </w:rPr>
      </w:pPr>
      <w:r>
        <w:rPr>
          <w:rFonts w:hint="eastAsia"/>
          <w:color w:val="auto"/>
          <w:highlight w:val="none"/>
        </w:rPr>
        <w:t>1、资金到位率</w:t>
      </w:r>
    </w:p>
    <w:p>
      <w:pPr>
        <w:bidi w:val="0"/>
        <w:rPr>
          <w:color w:val="auto"/>
          <w:highlight w:val="none"/>
        </w:rPr>
      </w:pPr>
      <w:r>
        <w:rPr>
          <w:rFonts w:hint="eastAsia"/>
          <w:color w:val="auto"/>
          <w:highlight w:val="none"/>
        </w:rPr>
        <w:t>本项目预算资金</w:t>
      </w:r>
      <w:r>
        <w:rPr>
          <w:rFonts w:hint="eastAsia"/>
          <w:color w:val="auto"/>
          <w:highlight w:val="none"/>
          <w:lang w:val="en-US" w:eastAsia="zh-CN"/>
        </w:rPr>
        <w:t>39.3</w:t>
      </w:r>
      <w:r>
        <w:rPr>
          <w:rFonts w:hint="eastAsia"/>
          <w:color w:val="auto"/>
          <w:highlight w:val="none"/>
        </w:rPr>
        <w:t>万元，实际到位资金</w:t>
      </w:r>
      <w:r>
        <w:rPr>
          <w:rFonts w:hint="eastAsia"/>
          <w:color w:val="auto"/>
          <w:highlight w:val="none"/>
          <w:lang w:val="en-US" w:eastAsia="zh-CN"/>
        </w:rPr>
        <w:t>39.3</w:t>
      </w:r>
      <w:r>
        <w:rPr>
          <w:rFonts w:hint="eastAsia"/>
          <w:color w:val="auto"/>
          <w:highlight w:val="none"/>
        </w:rPr>
        <w:t>万元，资金到位率100%。</w:t>
      </w:r>
    </w:p>
    <w:p>
      <w:pPr>
        <w:bidi w:val="0"/>
        <w:rPr>
          <w:color w:val="auto"/>
          <w:highlight w:val="none"/>
        </w:rPr>
      </w:pPr>
      <w:r>
        <w:rPr>
          <w:rFonts w:hint="eastAsia"/>
          <w:color w:val="auto"/>
          <w:highlight w:val="none"/>
        </w:rPr>
        <w:t>本项满分4分，评估得分4分。</w:t>
      </w:r>
    </w:p>
    <w:p>
      <w:pPr>
        <w:bidi w:val="0"/>
        <w:rPr>
          <w:color w:val="auto"/>
          <w:highlight w:val="none"/>
        </w:rPr>
      </w:pPr>
      <w:r>
        <w:rPr>
          <w:rFonts w:hint="eastAsia"/>
          <w:color w:val="auto"/>
          <w:highlight w:val="none"/>
        </w:rPr>
        <w:t>2、预算执行率</w:t>
      </w:r>
    </w:p>
    <w:p>
      <w:pPr>
        <w:bidi w:val="0"/>
        <w:rPr>
          <w:color w:val="auto"/>
          <w:highlight w:val="none"/>
        </w:rPr>
      </w:pPr>
      <w:r>
        <w:rPr>
          <w:rFonts w:hint="eastAsia"/>
          <w:color w:val="auto"/>
          <w:highlight w:val="none"/>
        </w:rPr>
        <w:t>本项目到位资金</w:t>
      </w:r>
      <w:r>
        <w:rPr>
          <w:rFonts w:hint="eastAsia"/>
          <w:color w:val="auto"/>
          <w:highlight w:val="none"/>
          <w:lang w:val="en-US" w:eastAsia="zh-CN"/>
        </w:rPr>
        <w:t>39.3</w:t>
      </w:r>
      <w:r>
        <w:rPr>
          <w:rFonts w:hint="eastAsia"/>
          <w:color w:val="auto"/>
          <w:highlight w:val="none"/>
        </w:rPr>
        <w:t>万元，实际支付资金</w:t>
      </w:r>
      <w:r>
        <w:rPr>
          <w:rFonts w:hint="eastAsia"/>
          <w:color w:val="auto"/>
          <w:highlight w:val="none"/>
          <w:lang w:val="en-US" w:eastAsia="zh-CN"/>
        </w:rPr>
        <w:t>39.3</w:t>
      </w:r>
      <w:r>
        <w:rPr>
          <w:rFonts w:hint="eastAsia"/>
          <w:color w:val="auto"/>
          <w:highlight w:val="none"/>
        </w:rPr>
        <w:t>万元，预算执行率为100%。</w:t>
      </w:r>
    </w:p>
    <w:p>
      <w:pPr>
        <w:bidi w:val="0"/>
        <w:rPr>
          <w:color w:val="auto"/>
          <w:highlight w:val="none"/>
        </w:rPr>
      </w:pPr>
      <w:r>
        <w:rPr>
          <w:rFonts w:hint="eastAsia"/>
          <w:color w:val="auto"/>
          <w:highlight w:val="none"/>
        </w:rPr>
        <w:t>本项满分4分，评估得分4分。</w:t>
      </w:r>
    </w:p>
    <w:p>
      <w:pPr>
        <w:bidi w:val="0"/>
        <w:rPr>
          <w:color w:val="auto"/>
          <w:highlight w:val="none"/>
        </w:rPr>
      </w:pPr>
      <w:r>
        <w:rPr>
          <w:rFonts w:hint="eastAsia"/>
          <w:color w:val="auto"/>
          <w:highlight w:val="none"/>
        </w:rPr>
        <w:t>3、资金使用合规性</w:t>
      </w:r>
    </w:p>
    <w:p>
      <w:pPr>
        <w:bidi w:val="0"/>
        <w:ind w:left="0" w:leftChars="0" w:firstLine="640" w:firstLineChars="200"/>
        <w:rPr>
          <w:color w:val="auto"/>
          <w:highlight w:val="none"/>
        </w:rPr>
      </w:pPr>
      <w:r>
        <w:rPr>
          <w:rFonts w:hint="eastAsia" w:ascii="Times New Roman" w:hAnsi="Times New Roman"/>
          <w:color w:val="auto"/>
          <w:highlight w:val="none"/>
          <w:lang w:val="en-US" w:eastAsia="zh-CN"/>
        </w:rPr>
        <w:t>本项目资金的使用符合《中华人民共和国预算法》《中华人民共和国会计法》《中华人民共和国招标</w:t>
      </w:r>
      <w:bookmarkStart w:id="38" w:name="_GoBack"/>
      <w:bookmarkEnd w:id="38"/>
      <w:r>
        <w:rPr>
          <w:rFonts w:hint="eastAsia" w:ascii="Times New Roman" w:hAnsi="Times New Roman"/>
          <w:color w:val="auto"/>
          <w:highlight w:val="none"/>
          <w:lang w:val="en-US" w:eastAsia="zh-CN"/>
        </w:rPr>
        <w:t>投标法》等国家有关财经法规以及预算管理制度。资金的审批和拨付按照《尉犁县财政资金审批管理办法》执行。资金的拨付有完整的审批程序和手续；资金使用符合专项资金支持的范围。不存在截留、挤占、挪用、虚列支出等情况。</w:t>
      </w:r>
      <w:r>
        <w:rPr>
          <w:rFonts w:hint="eastAsia"/>
          <w:color w:val="auto"/>
          <w:highlight w:val="none"/>
        </w:rPr>
        <w:t>本项满分4分，评估得分4分。</w:t>
      </w:r>
    </w:p>
    <w:p>
      <w:pPr>
        <w:bidi w:val="0"/>
        <w:rPr>
          <w:color w:val="auto"/>
          <w:highlight w:val="none"/>
        </w:rPr>
      </w:pPr>
      <w:r>
        <w:rPr>
          <w:rFonts w:hint="eastAsia"/>
          <w:color w:val="auto"/>
          <w:highlight w:val="none"/>
        </w:rPr>
        <w:t>4、管理制度健全性</w:t>
      </w:r>
    </w:p>
    <w:p>
      <w:pPr>
        <w:spacing w:line="360" w:lineRule="auto"/>
        <w:ind w:firstLine="640"/>
        <w:rPr>
          <w:rFonts w:hint="eastAsia" w:ascii="宋体" w:hAnsi="宋体" w:eastAsia="宋体" w:cs="宋体"/>
          <w:b/>
          <w:bCs/>
          <w:color w:val="auto"/>
          <w:kern w:val="2"/>
          <w:sz w:val="32"/>
          <w:szCs w:val="24"/>
          <w:highlight w:val="none"/>
          <w:lang w:val="en-US" w:eastAsia="zh-CN" w:bidi="ar-SA"/>
        </w:rPr>
      </w:pPr>
      <w:r>
        <w:rPr>
          <w:rFonts w:hint="eastAsia"/>
          <w:color w:val="auto"/>
          <w:highlight w:val="none"/>
          <w:lang w:val="en-US" w:eastAsia="zh-CN"/>
        </w:rPr>
        <w:t>尉犁县阿克苏普乡人民政府</w:t>
      </w:r>
      <w:r>
        <w:rPr>
          <w:rFonts w:hint="eastAsia"/>
          <w:color w:val="auto"/>
          <w:highlight w:val="none"/>
        </w:rPr>
        <w:t>制定了《</w:t>
      </w:r>
      <w:r>
        <w:rPr>
          <w:rFonts w:hint="eastAsia"/>
          <w:color w:val="auto"/>
          <w:highlight w:val="none"/>
          <w:lang w:val="en-US" w:eastAsia="zh-CN"/>
        </w:rPr>
        <w:t>尉犁县阿克苏普乡人民政府</w:t>
      </w:r>
      <w:r>
        <w:rPr>
          <w:rFonts w:hint="eastAsia"/>
          <w:color w:val="auto"/>
          <w:highlight w:val="none"/>
        </w:rPr>
        <w:t>财务管理办法》和</w:t>
      </w:r>
      <w:r>
        <w:rPr>
          <w:rFonts w:hint="eastAsia" w:ascii="Times New Roman" w:hAnsi="Times New Roman"/>
          <w:color w:val="auto"/>
          <w:highlight w:val="none"/>
        </w:rPr>
        <w:t>《</w:t>
      </w:r>
      <w:r>
        <w:rPr>
          <w:rFonts w:hint="eastAsia"/>
          <w:color w:val="auto"/>
          <w:highlight w:val="none"/>
          <w:lang w:val="en-US" w:eastAsia="zh-CN"/>
        </w:rPr>
        <w:t>尉犁县阿克苏普乡人民政府</w:t>
      </w:r>
      <w:r>
        <w:rPr>
          <w:rFonts w:hint="eastAsia" w:ascii="Times New Roman" w:hAnsi="Times New Roman"/>
          <w:color w:val="auto"/>
          <w:highlight w:val="none"/>
          <w:lang w:val="en-US" w:eastAsia="zh-CN"/>
        </w:rPr>
        <w:t>内控管理制度</w:t>
      </w:r>
      <w:r>
        <w:rPr>
          <w:rFonts w:hint="eastAsia" w:ascii="Times New Roman" w:hAnsi="Times New Roman"/>
          <w:color w:val="auto"/>
          <w:highlight w:val="none"/>
        </w:rPr>
        <w:t>》</w:t>
      </w:r>
      <w:r>
        <w:rPr>
          <w:rFonts w:hint="eastAsia"/>
          <w:color w:val="auto"/>
          <w:highlight w:val="none"/>
        </w:rPr>
        <w:t>，制定了较为全面的项目管理制度，对项目实施、组织与管理、跟踪与验收、监督与评价以及资金管理等方面都做出明确的规范要求。同时，项目的实施严格遵守《中华人民共和国预算法》《中华人民共和国会计法》等法律法规、财经制度的要求，资金管理等方面都做出明确的规范的要求，财务制度和业务管理制度健全。</w:t>
      </w:r>
    </w:p>
    <w:p>
      <w:pPr>
        <w:bidi w:val="0"/>
        <w:rPr>
          <w:color w:val="auto"/>
          <w:highlight w:val="none"/>
        </w:rPr>
      </w:pPr>
      <w:r>
        <w:rPr>
          <w:rFonts w:hint="eastAsia"/>
          <w:color w:val="auto"/>
          <w:highlight w:val="none"/>
        </w:rPr>
        <w:t>本项满分3分，评估得分3分。</w:t>
      </w:r>
    </w:p>
    <w:p>
      <w:pPr>
        <w:bidi w:val="0"/>
        <w:rPr>
          <w:color w:val="auto"/>
          <w:highlight w:val="none"/>
        </w:rPr>
      </w:pPr>
      <w:r>
        <w:rPr>
          <w:rFonts w:hint="eastAsia"/>
          <w:color w:val="auto"/>
          <w:highlight w:val="none"/>
        </w:rPr>
        <w:t>5、制度执行有效性</w:t>
      </w:r>
    </w:p>
    <w:p>
      <w:pPr>
        <w:bidi w:val="0"/>
        <w:rPr>
          <w:rFonts w:hint="eastAsia"/>
          <w:color w:val="auto"/>
          <w:highlight w:val="none"/>
        </w:rPr>
      </w:pPr>
      <w:r>
        <w:rPr>
          <w:rFonts w:hint="eastAsia"/>
          <w:color w:val="auto"/>
          <w:highlight w:val="none"/>
        </w:rPr>
        <w:t>本项目在实施过程中严格遵守相关法律法规和相关管理规定，如《中华人民共和国预算法》《中华人民共和国会计法》《采购法》等，严格执行财务规范。有关资料齐全，并及时整理归档。本项目无项目调整及支出调整，制度执行有效性较高。</w:t>
      </w:r>
    </w:p>
    <w:p>
      <w:pPr>
        <w:bidi w:val="0"/>
        <w:rPr>
          <w:rFonts w:hint="eastAsia"/>
          <w:color w:val="auto"/>
          <w:highlight w:val="none"/>
          <w:lang w:val="en-US" w:eastAsia="zh-CN"/>
        </w:rPr>
      </w:pPr>
      <w:r>
        <w:rPr>
          <w:rFonts w:hint="eastAsia"/>
          <w:color w:val="auto"/>
          <w:highlight w:val="none"/>
        </w:rPr>
        <w:t>本项满分3分，评估得分3分。</w:t>
      </w:r>
      <w:bookmarkStart w:id="23" w:name="_Toc32013"/>
    </w:p>
    <w:p>
      <w:pPr>
        <w:pStyle w:val="2"/>
        <w:bidi w:val="0"/>
        <w:rPr>
          <w:color w:val="auto"/>
          <w:highlight w:val="none"/>
        </w:rPr>
      </w:pPr>
      <w:r>
        <w:rPr>
          <w:rFonts w:hint="eastAsia"/>
          <w:color w:val="auto"/>
          <w:highlight w:val="none"/>
        </w:rPr>
        <w:t>（三）项目产出情况</w:t>
      </w:r>
      <w:bookmarkEnd w:id="23"/>
    </w:p>
    <w:p>
      <w:pPr>
        <w:bidi w:val="0"/>
        <w:rPr>
          <w:color w:val="auto"/>
          <w:highlight w:val="none"/>
        </w:rPr>
      </w:pPr>
      <w:r>
        <w:rPr>
          <w:rFonts w:hint="eastAsia"/>
          <w:color w:val="auto"/>
          <w:highlight w:val="none"/>
        </w:rPr>
        <w:t>1、产出数量</w:t>
      </w:r>
    </w:p>
    <w:p>
      <w:pPr>
        <w:bidi w:val="0"/>
        <w:rPr>
          <w:color w:val="auto"/>
          <w:highlight w:val="none"/>
        </w:rPr>
      </w:pPr>
      <w:r>
        <w:rPr>
          <w:rFonts w:hint="eastAsia" w:ascii="Times New Roman" w:hAnsi="Times New Roman" w:cs="Times New Roman"/>
          <w:bCs/>
          <w:color w:val="auto"/>
          <w:szCs w:val="32"/>
          <w:highlight w:val="none"/>
          <w:lang w:val="en-US" w:eastAsia="zh-CN"/>
        </w:rPr>
        <w:t>指标1：</w:t>
      </w:r>
      <w:r>
        <w:rPr>
          <w:rFonts w:hint="eastAsia"/>
          <w:color w:val="auto"/>
          <w:highlight w:val="none"/>
        </w:rPr>
        <w:t>采购变压器数量，指标值1</w:t>
      </w:r>
      <w:r>
        <w:rPr>
          <w:rFonts w:hint="eastAsia"/>
          <w:color w:val="auto"/>
          <w:highlight w:val="none"/>
          <w:lang w:val="en-US" w:eastAsia="zh-CN"/>
        </w:rPr>
        <w:t>个</w:t>
      </w:r>
      <w:r>
        <w:rPr>
          <w:rFonts w:hint="eastAsia"/>
          <w:color w:val="auto"/>
          <w:highlight w:val="none"/>
        </w:rPr>
        <w:t>，实际完成值1</w:t>
      </w:r>
      <w:r>
        <w:rPr>
          <w:rFonts w:hint="eastAsia"/>
          <w:color w:val="auto"/>
          <w:highlight w:val="none"/>
          <w:lang w:val="en-US" w:eastAsia="zh-CN"/>
        </w:rPr>
        <w:t>个</w:t>
      </w:r>
      <w:r>
        <w:rPr>
          <w:rFonts w:hint="eastAsia"/>
          <w:color w:val="auto"/>
          <w:highlight w:val="none"/>
        </w:rPr>
        <w:t>，指标完成率100%；</w:t>
      </w:r>
    </w:p>
    <w:p>
      <w:pPr>
        <w:bidi w:val="0"/>
        <w:rPr>
          <w:color w:val="auto"/>
          <w:highlight w:val="none"/>
        </w:rPr>
      </w:pPr>
      <w:r>
        <w:rPr>
          <w:rFonts w:hint="eastAsia"/>
          <w:color w:val="auto"/>
          <w:highlight w:val="none"/>
        </w:rPr>
        <w:t>本项满分1</w:t>
      </w:r>
      <w:r>
        <w:rPr>
          <w:rFonts w:hint="eastAsia"/>
          <w:color w:val="auto"/>
          <w:highlight w:val="none"/>
          <w:lang w:val="en-US" w:eastAsia="zh-CN"/>
        </w:rPr>
        <w:t>2</w:t>
      </w:r>
      <w:r>
        <w:rPr>
          <w:rFonts w:hint="eastAsia"/>
          <w:color w:val="auto"/>
          <w:highlight w:val="none"/>
        </w:rPr>
        <w:t>分，评估得分1</w:t>
      </w:r>
      <w:r>
        <w:rPr>
          <w:rFonts w:hint="eastAsia"/>
          <w:color w:val="auto"/>
          <w:highlight w:val="none"/>
          <w:lang w:val="en-US" w:eastAsia="zh-CN"/>
        </w:rPr>
        <w:t>2</w:t>
      </w:r>
      <w:r>
        <w:rPr>
          <w:rFonts w:hint="eastAsia"/>
          <w:color w:val="auto"/>
          <w:highlight w:val="none"/>
        </w:rPr>
        <w:t>分。</w:t>
      </w:r>
    </w:p>
    <w:p>
      <w:pPr>
        <w:bidi w:val="0"/>
        <w:rPr>
          <w:color w:val="auto"/>
          <w:highlight w:val="none"/>
        </w:rPr>
      </w:pPr>
      <w:r>
        <w:rPr>
          <w:rFonts w:hint="eastAsia"/>
          <w:color w:val="auto"/>
          <w:highlight w:val="none"/>
        </w:rPr>
        <w:t>2、产出质量</w:t>
      </w:r>
    </w:p>
    <w:p>
      <w:pPr>
        <w:bidi w:val="0"/>
        <w:rPr>
          <w:color w:val="auto"/>
          <w:highlight w:val="none"/>
        </w:rPr>
      </w:pPr>
      <w:r>
        <w:rPr>
          <w:rFonts w:hint="eastAsia" w:ascii="Times New Roman" w:hAnsi="Times New Roman" w:cs="Times New Roman"/>
          <w:bCs/>
          <w:color w:val="auto"/>
          <w:szCs w:val="32"/>
          <w:highlight w:val="none"/>
          <w:lang w:val="en-US" w:eastAsia="zh-CN"/>
        </w:rPr>
        <w:t>指标1：</w:t>
      </w:r>
      <w:r>
        <w:rPr>
          <w:rFonts w:hint="eastAsia"/>
          <w:color w:val="auto"/>
          <w:highlight w:val="none"/>
        </w:rPr>
        <w:t>设备验收合格率（%），指标值100%，指标完成值100%，指标完成率100%；</w:t>
      </w:r>
    </w:p>
    <w:p>
      <w:pPr>
        <w:bidi w:val="0"/>
        <w:rPr>
          <w:color w:val="auto"/>
          <w:highlight w:val="none"/>
        </w:rPr>
      </w:pPr>
      <w:r>
        <w:rPr>
          <w:rFonts w:hint="eastAsia"/>
          <w:color w:val="auto"/>
          <w:highlight w:val="none"/>
        </w:rPr>
        <w:t>本项满分1</w:t>
      </w:r>
      <w:r>
        <w:rPr>
          <w:rFonts w:hint="eastAsia"/>
          <w:color w:val="auto"/>
          <w:highlight w:val="none"/>
          <w:lang w:val="en-US" w:eastAsia="zh-CN"/>
        </w:rPr>
        <w:t>2</w:t>
      </w:r>
      <w:r>
        <w:rPr>
          <w:rFonts w:hint="eastAsia"/>
          <w:color w:val="auto"/>
          <w:highlight w:val="none"/>
        </w:rPr>
        <w:t>分，评估得分1</w:t>
      </w:r>
      <w:r>
        <w:rPr>
          <w:rFonts w:hint="eastAsia"/>
          <w:color w:val="auto"/>
          <w:highlight w:val="none"/>
          <w:lang w:val="en-US" w:eastAsia="zh-CN"/>
        </w:rPr>
        <w:t>2</w:t>
      </w:r>
      <w:r>
        <w:rPr>
          <w:rFonts w:hint="eastAsia"/>
          <w:color w:val="auto"/>
          <w:highlight w:val="none"/>
        </w:rPr>
        <w:t>分。</w:t>
      </w:r>
    </w:p>
    <w:p>
      <w:pPr>
        <w:bidi w:val="0"/>
        <w:rPr>
          <w:color w:val="auto"/>
          <w:highlight w:val="none"/>
        </w:rPr>
      </w:pPr>
      <w:r>
        <w:rPr>
          <w:rFonts w:hint="eastAsia"/>
          <w:color w:val="auto"/>
          <w:highlight w:val="none"/>
        </w:rPr>
        <w:t>3、产出时效</w:t>
      </w:r>
    </w:p>
    <w:p>
      <w:pPr>
        <w:bidi w:val="0"/>
        <w:rPr>
          <w:color w:val="auto"/>
          <w:highlight w:val="none"/>
        </w:rPr>
      </w:pPr>
      <w:r>
        <w:rPr>
          <w:rFonts w:hint="eastAsia" w:ascii="Times New Roman" w:hAnsi="Times New Roman" w:cs="Times New Roman"/>
          <w:bCs/>
          <w:color w:val="auto"/>
          <w:szCs w:val="32"/>
          <w:highlight w:val="none"/>
          <w:lang w:val="en-US" w:eastAsia="zh-CN"/>
        </w:rPr>
        <w:t>指标1：</w:t>
      </w:r>
      <w:r>
        <w:rPr>
          <w:rFonts w:hint="eastAsia"/>
          <w:color w:val="auto"/>
          <w:highlight w:val="none"/>
        </w:rPr>
        <w:t>工程完工及时率（%），指标值100%，指标完成值100.0%，指标完成率100%。</w:t>
      </w:r>
    </w:p>
    <w:p>
      <w:pPr>
        <w:bidi w:val="0"/>
        <w:rPr>
          <w:rFonts w:hint="eastAsia"/>
          <w:color w:val="auto"/>
          <w:highlight w:val="none"/>
        </w:rPr>
      </w:pPr>
      <w:r>
        <w:rPr>
          <w:rFonts w:hint="eastAsia"/>
          <w:color w:val="auto"/>
          <w:highlight w:val="none"/>
        </w:rPr>
        <w:t>本项满分</w:t>
      </w:r>
      <w:r>
        <w:rPr>
          <w:rFonts w:hint="eastAsia"/>
          <w:color w:val="auto"/>
          <w:highlight w:val="none"/>
          <w:lang w:val="en-US" w:eastAsia="zh-CN"/>
        </w:rPr>
        <w:t>8</w:t>
      </w:r>
      <w:r>
        <w:rPr>
          <w:rFonts w:hint="eastAsia"/>
          <w:color w:val="auto"/>
          <w:highlight w:val="none"/>
        </w:rPr>
        <w:t>分，评估得分</w:t>
      </w:r>
      <w:r>
        <w:rPr>
          <w:rFonts w:hint="eastAsia"/>
          <w:color w:val="auto"/>
          <w:highlight w:val="none"/>
          <w:lang w:val="en-US" w:eastAsia="zh-CN"/>
        </w:rPr>
        <w:t>8</w:t>
      </w:r>
      <w:r>
        <w:rPr>
          <w:rFonts w:hint="eastAsia"/>
          <w:color w:val="auto"/>
          <w:highlight w:val="none"/>
        </w:rPr>
        <w:t>分。</w:t>
      </w:r>
    </w:p>
    <w:p>
      <w:pPr>
        <w:bidi w:val="0"/>
        <w:rPr>
          <w:rFonts w:hint="eastAsia"/>
          <w:color w:val="auto"/>
          <w:highlight w:val="none"/>
          <w:lang w:val="en-US" w:eastAsia="zh-CN"/>
        </w:rPr>
      </w:pPr>
      <w:r>
        <w:rPr>
          <w:rFonts w:hint="eastAsia"/>
          <w:color w:val="auto"/>
          <w:highlight w:val="none"/>
          <w:lang w:val="en-US" w:eastAsia="zh-CN"/>
        </w:rPr>
        <w:t>4、产出成本</w:t>
      </w:r>
    </w:p>
    <w:p>
      <w:pPr>
        <w:bidi w:val="0"/>
        <w:rPr>
          <w:rFonts w:hint="eastAsia" w:cs="Times New Roman"/>
          <w:color w:val="auto"/>
          <w:highlight w:val="none"/>
          <w:lang w:val="en-US" w:eastAsia="zh-CN"/>
        </w:rPr>
      </w:pPr>
      <w:r>
        <w:rPr>
          <w:rFonts w:hint="eastAsia"/>
          <w:color w:val="auto"/>
          <w:highlight w:val="none"/>
          <w:lang w:val="en-US" w:eastAsia="zh-CN"/>
        </w:rPr>
        <w:t>指标1：采购设备成本</w:t>
      </w:r>
      <w:r>
        <w:rPr>
          <w:rFonts w:hint="eastAsia" w:ascii="Times New Roman" w:hAnsi="Times New Roman" w:cs="Times New Roman"/>
          <w:color w:val="auto"/>
          <w:highlight w:val="none"/>
          <w:lang w:val="en-US" w:eastAsia="zh-CN"/>
        </w:rPr>
        <w:t>&lt;=24.67万元/套</w:t>
      </w:r>
      <w:r>
        <w:rPr>
          <w:rFonts w:hint="eastAsia" w:cs="Times New Roman"/>
          <w:color w:val="auto"/>
          <w:highlight w:val="none"/>
          <w:lang w:val="en-US" w:eastAsia="zh-CN"/>
        </w:rPr>
        <w:t>，指标完成值24.67万元/套，指标完成率100%。</w:t>
      </w:r>
    </w:p>
    <w:p>
      <w:pPr>
        <w:bidi w:val="0"/>
        <w:rPr>
          <w:rFonts w:hint="default"/>
          <w:color w:val="auto"/>
          <w:highlight w:val="none"/>
          <w:lang w:val="en-US" w:eastAsia="zh-CN"/>
        </w:rPr>
      </w:pPr>
      <w:r>
        <w:rPr>
          <w:rFonts w:hint="default"/>
          <w:color w:val="auto"/>
          <w:highlight w:val="none"/>
          <w:lang w:val="en-US" w:eastAsia="zh-CN"/>
        </w:rPr>
        <w:t>指标</w:t>
      </w:r>
      <w:r>
        <w:rPr>
          <w:rFonts w:hint="eastAsia"/>
          <w:color w:val="auto"/>
          <w:highlight w:val="none"/>
          <w:lang w:val="en-US" w:eastAsia="zh-CN"/>
        </w:rPr>
        <w:t>2</w:t>
      </w:r>
      <w:r>
        <w:rPr>
          <w:rFonts w:hint="default"/>
          <w:color w:val="auto"/>
          <w:highlight w:val="none"/>
          <w:lang w:val="en-US" w:eastAsia="zh-CN"/>
        </w:rPr>
        <w:t>：安装及附属设施费用&lt;=14.63万元，指标完成值14.63万元，指标完成率100%</w:t>
      </w:r>
    </w:p>
    <w:p>
      <w:pPr>
        <w:bidi w:val="0"/>
        <w:rPr>
          <w:rFonts w:hint="default"/>
          <w:color w:val="auto"/>
          <w:highlight w:val="none"/>
          <w:lang w:val="en-US" w:eastAsia="zh-CN"/>
        </w:rPr>
      </w:pPr>
      <w:r>
        <w:rPr>
          <w:rFonts w:hint="eastAsia"/>
          <w:color w:val="auto"/>
          <w:highlight w:val="none"/>
        </w:rPr>
        <w:t>本项满分</w:t>
      </w:r>
      <w:r>
        <w:rPr>
          <w:rFonts w:hint="eastAsia"/>
          <w:color w:val="auto"/>
          <w:highlight w:val="none"/>
          <w:lang w:val="en-US" w:eastAsia="zh-CN"/>
        </w:rPr>
        <w:t>8</w:t>
      </w:r>
      <w:r>
        <w:rPr>
          <w:rFonts w:hint="eastAsia"/>
          <w:color w:val="auto"/>
          <w:highlight w:val="none"/>
        </w:rPr>
        <w:t>分，评估得分</w:t>
      </w:r>
      <w:r>
        <w:rPr>
          <w:rFonts w:hint="eastAsia"/>
          <w:color w:val="auto"/>
          <w:highlight w:val="none"/>
          <w:lang w:val="en-US" w:eastAsia="zh-CN"/>
        </w:rPr>
        <w:t>8</w:t>
      </w:r>
      <w:r>
        <w:rPr>
          <w:rFonts w:hint="eastAsia"/>
          <w:color w:val="auto"/>
          <w:highlight w:val="none"/>
        </w:rPr>
        <w:t>分。</w:t>
      </w:r>
    </w:p>
    <w:p>
      <w:pPr>
        <w:pStyle w:val="2"/>
        <w:bidi w:val="0"/>
        <w:rPr>
          <w:color w:val="auto"/>
          <w:highlight w:val="none"/>
        </w:rPr>
      </w:pPr>
      <w:bookmarkStart w:id="24" w:name="_Toc28354"/>
      <w:r>
        <w:rPr>
          <w:rFonts w:hint="eastAsia"/>
          <w:color w:val="auto"/>
          <w:highlight w:val="none"/>
        </w:rPr>
        <w:t>（四）项目效益情况</w:t>
      </w:r>
      <w:bookmarkEnd w:id="24"/>
    </w:p>
    <w:p>
      <w:pPr>
        <w:bidi w:val="0"/>
        <w:rPr>
          <w:color w:val="auto"/>
          <w:highlight w:val="none"/>
        </w:rPr>
      </w:pPr>
      <w:r>
        <w:rPr>
          <w:rFonts w:hint="eastAsia"/>
          <w:color w:val="auto"/>
          <w:highlight w:val="none"/>
        </w:rPr>
        <w:t>1、实际效益</w:t>
      </w:r>
    </w:p>
    <w:p>
      <w:pPr>
        <w:bidi w:val="0"/>
        <w:rPr>
          <w:rFonts w:hint="eastAsia"/>
          <w:color w:val="auto"/>
          <w:highlight w:val="none"/>
        </w:rPr>
      </w:pPr>
      <w:r>
        <w:rPr>
          <w:rFonts w:hint="eastAsia"/>
          <w:color w:val="auto"/>
          <w:highlight w:val="none"/>
        </w:rPr>
        <w:t>本项目实施所产生的效益主要包括社会效益和</w:t>
      </w:r>
      <w:r>
        <w:rPr>
          <w:rFonts w:hint="eastAsia"/>
          <w:color w:val="auto"/>
          <w:highlight w:val="none"/>
          <w:lang w:val="en-US" w:eastAsia="zh-CN"/>
        </w:rPr>
        <w:t>生态效益</w:t>
      </w:r>
      <w:r>
        <w:rPr>
          <w:rFonts w:hint="eastAsia"/>
          <w:color w:val="auto"/>
          <w:highlight w:val="none"/>
        </w:rPr>
        <w:t>。</w:t>
      </w:r>
    </w:p>
    <w:p>
      <w:pPr>
        <w:bidi w:val="0"/>
        <w:rPr>
          <w:rFonts w:hint="default" w:eastAsia="仿宋_GB2312"/>
          <w:color w:val="auto"/>
          <w:highlight w:val="none"/>
          <w:lang w:val="en-US" w:eastAsia="zh-CN"/>
        </w:rPr>
      </w:pPr>
      <w:r>
        <w:rPr>
          <w:rFonts w:hint="eastAsia"/>
          <w:color w:val="auto"/>
          <w:highlight w:val="none"/>
          <w:lang w:val="en-US" w:eastAsia="zh-CN"/>
        </w:rPr>
        <w:t>项目的实施有效改善供热基础设施，有效改善生态环境。</w:t>
      </w:r>
    </w:p>
    <w:p>
      <w:pPr>
        <w:bidi w:val="0"/>
        <w:rPr>
          <w:color w:val="auto"/>
          <w:highlight w:val="none"/>
        </w:rPr>
      </w:pPr>
      <w:r>
        <w:rPr>
          <w:rFonts w:hint="eastAsia"/>
          <w:color w:val="auto"/>
          <w:highlight w:val="none"/>
        </w:rPr>
        <w:t>本项满分10分，评估得分10分。</w:t>
      </w:r>
    </w:p>
    <w:p>
      <w:pPr>
        <w:bidi w:val="0"/>
        <w:rPr>
          <w:color w:val="auto"/>
          <w:highlight w:val="none"/>
        </w:rPr>
      </w:pPr>
      <w:r>
        <w:rPr>
          <w:rFonts w:hint="eastAsia"/>
          <w:color w:val="auto"/>
          <w:highlight w:val="none"/>
        </w:rPr>
        <w:t>2、满意度</w:t>
      </w:r>
    </w:p>
    <w:p>
      <w:pPr>
        <w:bidi w:val="0"/>
        <w:rPr>
          <w:color w:val="auto"/>
          <w:highlight w:val="none"/>
        </w:rPr>
      </w:pPr>
      <w:r>
        <w:rPr>
          <w:rFonts w:hint="eastAsia"/>
          <w:color w:val="auto"/>
          <w:highlight w:val="none"/>
        </w:rPr>
        <w:t>本项目服务对象和受益群众主要是</w:t>
      </w:r>
      <w:r>
        <w:rPr>
          <w:rFonts w:hint="eastAsia"/>
          <w:color w:val="auto"/>
          <w:highlight w:val="none"/>
          <w:lang w:val="en-US" w:eastAsia="zh-CN"/>
        </w:rPr>
        <w:t>乡政府干部职工</w:t>
      </w:r>
      <w:r>
        <w:rPr>
          <w:rFonts w:hint="eastAsia"/>
          <w:color w:val="auto"/>
          <w:highlight w:val="none"/>
        </w:rPr>
        <w:t>，通过问卷调查方式收集</w:t>
      </w:r>
      <w:r>
        <w:rPr>
          <w:rFonts w:hint="eastAsia"/>
          <w:color w:val="auto"/>
          <w:highlight w:val="none"/>
          <w:lang w:val="en-US" w:eastAsia="zh-CN"/>
        </w:rPr>
        <w:t>群众</w:t>
      </w:r>
      <w:r>
        <w:rPr>
          <w:rFonts w:hint="eastAsia"/>
          <w:color w:val="auto"/>
          <w:highlight w:val="none"/>
        </w:rPr>
        <w:t>对本项目实施的满意度。服务群众满意度</w:t>
      </w:r>
      <w:r>
        <w:rPr>
          <w:rFonts w:hint="eastAsia"/>
          <w:color w:val="auto"/>
          <w:highlight w:val="none"/>
          <w:lang w:val="en-US" w:eastAsia="zh-CN"/>
        </w:rPr>
        <w:t>95%。</w:t>
      </w:r>
    </w:p>
    <w:p>
      <w:pPr>
        <w:bidi w:val="0"/>
        <w:rPr>
          <w:color w:val="auto"/>
          <w:highlight w:val="none"/>
        </w:rPr>
      </w:pPr>
      <w:r>
        <w:rPr>
          <w:rFonts w:hint="eastAsia"/>
          <w:color w:val="auto"/>
          <w:highlight w:val="none"/>
        </w:rPr>
        <w:t>本项满分10分，评估得分10分。</w:t>
      </w:r>
    </w:p>
    <w:p>
      <w:pPr>
        <w:pStyle w:val="4"/>
        <w:bidi w:val="0"/>
        <w:rPr>
          <w:color w:val="auto"/>
          <w:highlight w:val="none"/>
        </w:rPr>
      </w:pPr>
      <w:bookmarkStart w:id="25" w:name="_Toc27244"/>
      <w:r>
        <w:rPr>
          <w:rFonts w:hint="eastAsia"/>
          <w:color w:val="auto"/>
          <w:highlight w:val="none"/>
        </w:rPr>
        <w:t>五、主要经验及做法、存在的问题及原因分析</w:t>
      </w:r>
      <w:bookmarkEnd w:id="25"/>
    </w:p>
    <w:p>
      <w:pPr>
        <w:pStyle w:val="2"/>
        <w:bidi w:val="0"/>
        <w:rPr>
          <w:color w:val="auto"/>
          <w:highlight w:val="none"/>
        </w:rPr>
      </w:pPr>
      <w:bookmarkStart w:id="26" w:name="_Toc18880"/>
      <w:r>
        <w:rPr>
          <w:rFonts w:hint="eastAsia"/>
          <w:color w:val="auto"/>
          <w:highlight w:val="none"/>
        </w:rPr>
        <w:t>（一）主要经验及做法</w:t>
      </w:r>
      <w:bookmarkEnd w:id="26"/>
    </w:p>
    <w:p>
      <w:pPr>
        <w:bidi w:val="0"/>
        <w:rPr>
          <w:color w:val="auto"/>
          <w:highlight w:val="none"/>
        </w:rPr>
      </w:pPr>
      <w:r>
        <w:rPr>
          <w:rFonts w:hint="eastAsia"/>
          <w:color w:val="auto"/>
          <w:highlight w:val="none"/>
          <w:lang w:val="en-US" w:eastAsia="zh-CN"/>
        </w:rPr>
        <w:t>尉犁县阿克苏普乡人民政府</w:t>
      </w:r>
      <w:r>
        <w:rPr>
          <w:rFonts w:hint="eastAsia"/>
          <w:color w:val="auto"/>
          <w:highlight w:val="none"/>
        </w:rPr>
        <w:t>在</w:t>
      </w:r>
      <w:r>
        <w:rPr>
          <w:rFonts w:hint="eastAsia"/>
          <w:color w:val="auto"/>
          <w:highlight w:val="none"/>
          <w:lang w:val="en-US" w:eastAsia="zh-CN"/>
        </w:rPr>
        <w:t>尉犁</w:t>
      </w:r>
      <w:r>
        <w:rPr>
          <w:rFonts w:hint="eastAsia"/>
          <w:color w:val="auto"/>
          <w:highlight w:val="none"/>
          <w:lang w:eastAsia="zh-CN"/>
        </w:rPr>
        <w:t>县委、县政府</w:t>
      </w:r>
      <w:r>
        <w:rPr>
          <w:rFonts w:hint="eastAsia"/>
          <w:color w:val="auto"/>
          <w:highlight w:val="none"/>
        </w:rPr>
        <w:t>的支持下，在相关部门的配合下，全面顺利完成，绩效评价“优”，主要经验及做法如下：</w:t>
      </w:r>
    </w:p>
    <w:p>
      <w:pPr>
        <w:bidi w:val="0"/>
        <w:rPr>
          <w:color w:val="auto"/>
          <w:highlight w:val="none"/>
        </w:rPr>
      </w:pPr>
      <w:r>
        <w:rPr>
          <w:rFonts w:hint="eastAsia"/>
          <w:color w:val="auto"/>
          <w:highlight w:val="none"/>
        </w:rPr>
        <w:t>1、加强领导，落实责任。为规范、有效推进</w:t>
      </w:r>
      <w:r>
        <w:rPr>
          <w:rFonts w:hint="eastAsia"/>
          <w:color w:val="auto"/>
          <w:highlight w:val="none"/>
          <w:lang w:val="en-US" w:eastAsia="zh-CN"/>
        </w:rPr>
        <w:t>工作开展</w:t>
      </w:r>
      <w:r>
        <w:rPr>
          <w:rFonts w:hint="eastAsia"/>
          <w:color w:val="auto"/>
          <w:highlight w:val="none"/>
        </w:rPr>
        <w:t>，成立</w:t>
      </w:r>
      <w:r>
        <w:rPr>
          <w:rFonts w:hint="eastAsia"/>
          <w:color w:val="auto"/>
          <w:highlight w:val="none"/>
          <w:lang w:val="en-US" w:eastAsia="zh-CN"/>
        </w:rPr>
        <w:t>尉犁县阿克苏普乡人民政府</w:t>
      </w:r>
      <w:r>
        <w:rPr>
          <w:rFonts w:hint="eastAsia"/>
          <w:color w:val="auto"/>
          <w:highlight w:val="none"/>
        </w:rPr>
        <w:t>项目资金有效管理领导小组，</w:t>
      </w:r>
      <w:r>
        <w:rPr>
          <w:rFonts w:hint="eastAsia"/>
          <w:color w:val="auto"/>
          <w:highlight w:val="none"/>
          <w:lang w:val="en-US" w:eastAsia="zh-CN"/>
        </w:rPr>
        <w:t>主要领导为领导小组组长，</w:t>
      </w:r>
      <w:r>
        <w:rPr>
          <w:rFonts w:hint="eastAsia"/>
          <w:color w:val="auto"/>
          <w:highlight w:val="none"/>
        </w:rPr>
        <w:t>各分管领导为成员，明确了</w:t>
      </w:r>
      <w:r>
        <w:rPr>
          <w:rFonts w:hint="eastAsia"/>
          <w:color w:val="auto"/>
          <w:highlight w:val="none"/>
          <w:lang w:eastAsia="zh-CN"/>
        </w:rPr>
        <w:t>各科室</w:t>
      </w:r>
      <w:r>
        <w:rPr>
          <w:rFonts w:hint="eastAsia"/>
          <w:color w:val="auto"/>
          <w:highlight w:val="none"/>
        </w:rPr>
        <w:t>工作职责，从项目审批、项目实施管理、资金管理各方面加强统筹协调，共同推进项目顺利实施。</w:t>
      </w:r>
    </w:p>
    <w:p>
      <w:pPr>
        <w:bidi w:val="0"/>
        <w:rPr>
          <w:color w:val="auto"/>
          <w:highlight w:val="none"/>
        </w:rPr>
      </w:pPr>
      <w:r>
        <w:rPr>
          <w:rFonts w:hint="eastAsia"/>
          <w:color w:val="auto"/>
          <w:highlight w:val="none"/>
        </w:rPr>
        <w:t>2、严格程序，确保资金效益。严格资金审批流程，明确资金使用范围，保证项目资金专款专用，有效杜绝了截留、挪用、滞留、浪费资金等现象的发生，确保了资金使用安全和最大效益的发挥。</w:t>
      </w:r>
    </w:p>
    <w:p>
      <w:pPr>
        <w:pStyle w:val="2"/>
        <w:bidi w:val="0"/>
        <w:rPr>
          <w:color w:val="auto"/>
          <w:highlight w:val="none"/>
        </w:rPr>
      </w:pPr>
      <w:bookmarkStart w:id="27" w:name="_Toc9914"/>
      <w:r>
        <w:rPr>
          <w:rFonts w:hint="eastAsia"/>
          <w:color w:val="auto"/>
          <w:highlight w:val="none"/>
        </w:rPr>
        <w:t>（二）存在问题及原因分析</w:t>
      </w:r>
      <w:bookmarkEnd w:id="27"/>
    </w:p>
    <w:p>
      <w:pPr>
        <w:bidi w:val="0"/>
        <w:rPr>
          <w:color w:val="auto"/>
          <w:highlight w:val="none"/>
        </w:rPr>
      </w:pPr>
      <w:r>
        <w:rPr>
          <w:rFonts w:hint="eastAsia"/>
          <w:color w:val="auto"/>
          <w:highlight w:val="none"/>
        </w:rPr>
        <w:t>1、绩效管理体系需要逐渐健全。首先，需要进一步完善</w:t>
      </w:r>
      <w:r>
        <w:rPr>
          <w:rFonts w:hint="eastAsia"/>
          <w:color w:val="auto"/>
          <w:highlight w:val="none"/>
          <w:lang w:val="en-US" w:eastAsia="zh-CN"/>
        </w:rPr>
        <w:t>单位内部</w:t>
      </w:r>
      <w:r>
        <w:rPr>
          <w:rFonts w:hint="eastAsia"/>
          <w:color w:val="auto"/>
          <w:highlight w:val="none"/>
        </w:rPr>
        <w:t>预算绩效管理制度，为单位预算绩效管理工作提供强有力的制度保障；其次，需要进一步建立健全</w:t>
      </w:r>
      <w:r>
        <w:rPr>
          <w:rFonts w:hint="eastAsia"/>
          <w:color w:val="auto"/>
          <w:highlight w:val="none"/>
          <w:lang w:val="en-US" w:eastAsia="zh-CN"/>
        </w:rPr>
        <w:t>本单位</w:t>
      </w:r>
      <w:r>
        <w:rPr>
          <w:rFonts w:hint="eastAsia"/>
          <w:color w:val="auto"/>
          <w:highlight w:val="none"/>
        </w:rPr>
        <w:t>绩效评价指标体系，对个性化指标进行不断优化调整。</w:t>
      </w:r>
    </w:p>
    <w:p>
      <w:pPr>
        <w:bidi w:val="0"/>
        <w:rPr>
          <w:color w:val="auto"/>
          <w:highlight w:val="none"/>
        </w:rPr>
      </w:pPr>
      <w:r>
        <w:rPr>
          <w:rFonts w:hint="eastAsia"/>
          <w:color w:val="auto"/>
          <w:highlight w:val="none"/>
        </w:rPr>
        <w:t>2、具体项目实施的</w:t>
      </w:r>
      <w:r>
        <w:rPr>
          <w:rFonts w:hint="eastAsia"/>
          <w:color w:val="auto"/>
          <w:highlight w:val="none"/>
          <w:lang w:val="en-US" w:eastAsia="zh-CN"/>
        </w:rPr>
        <w:t>科室</w:t>
      </w:r>
      <w:r>
        <w:rPr>
          <w:rFonts w:hint="eastAsia"/>
          <w:color w:val="auto"/>
          <w:highlight w:val="none"/>
        </w:rPr>
        <w:t>对项目绩效管理认识不足。目前</w:t>
      </w:r>
      <w:r>
        <w:rPr>
          <w:rFonts w:hint="eastAsia"/>
          <w:color w:val="auto"/>
          <w:highlight w:val="none"/>
          <w:lang w:val="en-US" w:eastAsia="zh-CN"/>
        </w:rPr>
        <w:t>尉犁县阿克苏普乡人民政府</w:t>
      </w:r>
      <w:r>
        <w:rPr>
          <w:rFonts w:hint="eastAsia"/>
          <w:color w:val="auto"/>
          <w:highlight w:val="none"/>
        </w:rPr>
        <w:t>相关的绩效目标设定、绩效管理监控等方面都集中在</w:t>
      </w:r>
      <w:r>
        <w:rPr>
          <w:rFonts w:hint="eastAsia"/>
          <w:color w:val="auto"/>
          <w:highlight w:val="none"/>
          <w:lang w:val="en-US" w:eastAsia="zh-CN"/>
        </w:rPr>
        <w:t>财务人员</w:t>
      </w:r>
      <w:r>
        <w:rPr>
          <w:rFonts w:hint="eastAsia"/>
          <w:color w:val="auto"/>
          <w:highlight w:val="none"/>
        </w:rPr>
        <w:t>，具体项目实施的</w:t>
      </w:r>
      <w:r>
        <w:rPr>
          <w:rFonts w:hint="eastAsia"/>
          <w:color w:val="auto"/>
          <w:highlight w:val="none"/>
          <w:lang w:val="en-US" w:eastAsia="zh-CN"/>
        </w:rPr>
        <w:t>科室</w:t>
      </w:r>
      <w:r>
        <w:rPr>
          <w:rFonts w:hint="eastAsia"/>
          <w:color w:val="auto"/>
          <w:highlight w:val="none"/>
        </w:rPr>
        <w:t>对项目绩效的参与度不高。</w:t>
      </w:r>
    </w:p>
    <w:p>
      <w:pPr>
        <w:pStyle w:val="4"/>
        <w:bidi w:val="0"/>
        <w:rPr>
          <w:color w:val="auto"/>
          <w:highlight w:val="none"/>
        </w:rPr>
      </w:pPr>
      <w:bookmarkStart w:id="28" w:name="_Toc2334"/>
      <w:r>
        <w:rPr>
          <w:rFonts w:hint="eastAsia"/>
          <w:color w:val="auto"/>
          <w:highlight w:val="none"/>
        </w:rPr>
        <w:t>六、有关建议</w:t>
      </w:r>
      <w:bookmarkEnd w:id="28"/>
    </w:p>
    <w:p>
      <w:pPr>
        <w:bidi w:val="0"/>
        <w:rPr>
          <w:color w:val="auto"/>
          <w:highlight w:val="none"/>
        </w:rPr>
      </w:pPr>
      <w:r>
        <w:rPr>
          <w:rFonts w:hint="eastAsia"/>
          <w:color w:val="auto"/>
          <w:highlight w:val="none"/>
        </w:rPr>
        <w:t>1、</w:t>
      </w:r>
      <w:r>
        <w:rPr>
          <w:rFonts w:hint="eastAsia"/>
          <w:color w:val="auto"/>
          <w:highlight w:val="none"/>
          <w:lang w:val="en-US" w:eastAsia="zh-CN"/>
        </w:rPr>
        <w:t>尉犁县阿克苏普乡人民政府</w:t>
      </w:r>
      <w:r>
        <w:rPr>
          <w:rFonts w:hint="eastAsia"/>
          <w:color w:val="auto"/>
          <w:highlight w:val="none"/>
        </w:rPr>
        <w:t>将进一步完善</w:t>
      </w:r>
      <w:r>
        <w:rPr>
          <w:rFonts w:hint="eastAsia"/>
          <w:color w:val="auto"/>
          <w:highlight w:val="none"/>
          <w:lang w:val="en-US" w:eastAsia="zh-CN"/>
        </w:rPr>
        <w:t>内部</w:t>
      </w:r>
      <w:r>
        <w:rPr>
          <w:rFonts w:hint="eastAsia"/>
          <w:color w:val="auto"/>
          <w:highlight w:val="none"/>
        </w:rPr>
        <w:t>预算绩效管理机制、体制建设，加强对干部职工预算绩效管理知识的培训，树立干部职工预算绩效管理意识，针对预算绩效管理过程中存在的问题改进预算绩效管理工作，保证预算资金安全、高效使用。</w:t>
      </w:r>
    </w:p>
    <w:p>
      <w:pPr>
        <w:bidi w:val="0"/>
        <w:rPr>
          <w:color w:val="auto"/>
          <w:highlight w:val="none"/>
        </w:rPr>
      </w:pPr>
      <w:r>
        <w:rPr>
          <w:rFonts w:hint="eastAsia"/>
          <w:color w:val="auto"/>
          <w:highlight w:val="none"/>
        </w:rPr>
        <w:t>2、</w:t>
      </w:r>
      <w:r>
        <w:rPr>
          <w:rFonts w:hint="eastAsia"/>
          <w:color w:val="auto"/>
          <w:highlight w:val="none"/>
          <w:lang w:val="en-US" w:eastAsia="zh-CN"/>
        </w:rPr>
        <w:t>尉犁县阿克苏普乡人民政府</w:t>
      </w:r>
      <w:r>
        <w:rPr>
          <w:rFonts w:hint="eastAsia"/>
          <w:color w:val="auto"/>
          <w:highlight w:val="none"/>
        </w:rPr>
        <w:t>在下一步的工作中将强化对</w:t>
      </w:r>
      <w:r>
        <w:rPr>
          <w:rFonts w:hint="eastAsia"/>
          <w:color w:val="auto"/>
          <w:highlight w:val="none"/>
          <w:lang w:val="en-US" w:eastAsia="zh-CN"/>
        </w:rPr>
        <w:t>具体开展工作</w:t>
      </w:r>
      <w:r>
        <w:rPr>
          <w:rFonts w:hint="eastAsia"/>
          <w:color w:val="auto"/>
          <w:highlight w:val="none"/>
        </w:rPr>
        <w:t>的</w:t>
      </w:r>
      <w:r>
        <w:rPr>
          <w:rFonts w:hint="eastAsia"/>
          <w:color w:val="auto"/>
          <w:highlight w:val="none"/>
          <w:lang w:val="en-US" w:eastAsia="zh-CN"/>
        </w:rPr>
        <w:t>科室</w:t>
      </w:r>
      <w:r>
        <w:rPr>
          <w:rFonts w:hint="eastAsia"/>
          <w:color w:val="auto"/>
          <w:highlight w:val="none"/>
        </w:rPr>
        <w:t>对项目绩效的参与度，切实强化项目绩效管理。</w:t>
      </w:r>
    </w:p>
    <w:p>
      <w:pPr>
        <w:pStyle w:val="4"/>
        <w:bidi w:val="0"/>
        <w:rPr>
          <w:color w:val="auto"/>
        </w:rPr>
      </w:pPr>
      <w:bookmarkStart w:id="29" w:name="_Toc30571"/>
      <w:r>
        <w:rPr>
          <w:rFonts w:hint="eastAsia"/>
          <w:color w:val="auto"/>
        </w:rPr>
        <w:t>七、其他需要说明的问题</w:t>
      </w:r>
      <w:bookmarkEnd w:id="29"/>
    </w:p>
    <w:p>
      <w:pPr>
        <w:bidi w:val="0"/>
        <w:rPr>
          <w:color w:val="auto"/>
        </w:rPr>
      </w:pPr>
      <w:r>
        <w:rPr>
          <w:rFonts w:hint="eastAsia"/>
          <w:color w:val="auto"/>
        </w:rPr>
        <w:t>无其他需要说明的问题。</w:t>
      </w:r>
    </w:p>
    <w:p>
      <w:pPr>
        <w:pStyle w:val="4"/>
        <w:bidi w:val="0"/>
        <w:rPr>
          <w:color w:val="auto"/>
        </w:rPr>
      </w:pPr>
      <w:bookmarkStart w:id="30" w:name="_Toc10180"/>
      <w:r>
        <w:rPr>
          <w:rFonts w:hint="eastAsia"/>
          <w:color w:val="auto"/>
        </w:rPr>
        <w:t>八、相关附件</w:t>
      </w:r>
      <w:bookmarkEnd w:id="30"/>
    </w:p>
    <w:p>
      <w:pPr>
        <w:bidi w:val="0"/>
        <w:rPr>
          <w:color w:val="auto"/>
        </w:rPr>
      </w:pPr>
      <w:r>
        <w:rPr>
          <w:rFonts w:hint="eastAsia"/>
          <w:color w:val="auto"/>
        </w:rPr>
        <w:t>1、项目支出绩效自评表</w:t>
      </w:r>
    </w:p>
    <w:p>
      <w:pPr>
        <w:bidi w:val="0"/>
        <w:rPr>
          <w:color w:val="auto"/>
        </w:rPr>
      </w:pPr>
      <w:r>
        <w:rPr>
          <w:rFonts w:hint="eastAsia"/>
          <w:color w:val="auto"/>
        </w:rPr>
        <w:t>2、评价指标体系及得分表</w:t>
      </w:r>
    </w:p>
    <w:p>
      <w:pPr>
        <w:bidi w:val="0"/>
        <w:rPr>
          <w:color w:val="auto"/>
        </w:rPr>
        <w:sectPr>
          <w:footerReference r:id="rId3" w:type="default"/>
          <w:pgSz w:w="11906" w:h="16838"/>
          <w:pgMar w:top="1440" w:right="1800" w:bottom="1440" w:left="1800" w:header="851" w:footer="992" w:gutter="0"/>
          <w:pgNumType w:fmt="decimal" w:start="1"/>
          <w:cols w:space="425" w:num="1"/>
          <w:docGrid w:type="lines" w:linePitch="312" w:charSpace="0"/>
        </w:sectPr>
      </w:pPr>
    </w:p>
    <w:p>
      <w:pPr>
        <w:pStyle w:val="4"/>
        <w:bidi w:val="0"/>
        <w:rPr>
          <w:color w:val="auto"/>
        </w:rPr>
      </w:pPr>
      <w:bookmarkStart w:id="31" w:name="_Toc6652"/>
      <w:bookmarkStart w:id="32" w:name="_Toc12781"/>
      <w:bookmarkStart w:id="33" w:name="_Toc18004"/>
      <w:r>
        <w:rPr>
          <w:color w:val="auto"/>
        </w:rPr>
        <w:t>附件1：项目支出绩效自评表</w:t>
      </w:r>
      <w:bookmarkEnd w:id="31"/>
      <w:bookmarkEnd w:id="32"/>
      <w:bookmarkEnd w:id="33"/>
    </w:p>
    <w:tbl>
      <w:tblPr>
        <w:tblStyle w:val="10"/>
        <w:tblW w:w="5500" w:type="pct"/>
        <w:tblInd w:w="-4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95"/>
        <w:gridCol w:w="557"/>
        <w:gridCol w:w="618"/>
        <w:gridCol w:w="709"/>
        <w:gridCol w:w="713"/>
        <w:gridCol w:w="533"/>
        <w:gridCol w:w="520"/>
        <w:gridCol w:w="573"/>
        <w:gridCol w:w="758"/>
        <w:gridCol w:w="607"/>
        <w:gridCol w:w="610"/>
        <w:gridCol w:w="573"/>
        <w:gridCol w:w="586"/>
        <w:gridCol w:w="10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5000" w:type="pct"/>
            <w:gridSpan w:val="14"/>
            <w:tcBorders>
              <w:top w:val="nil"/>
              <w:left w:val="nil"/>
              <w:bottom w:val="nil"/>
              <w:right w:val="nil"/>
            </w:tcBorders>
            <w:noWrap w:val="0"/>
            <w:vAlign w:val="center"/>
          </w:tcPr>
          <w:p>
            <w:pPr>
              <w:pStyle w:val="12"/>
              <w:bidi w:val="0"/>
              <w:rPr>
                <w:color w:val="auto"/>
              </w:rPr>
            </w:pPr>
            <w:bookmarkStart w:id="34" w:name="_Toc5134"/>
            <w:bookmarkStart w:id="35" w:name="_Toc1641"/>
            <w:bookmarkStart w:id="36" w:name="_Toc28099"/>
            <w:r>
              <w:rPr>
                <w:rFonts w:hint="eastAsia"/>
                <w:color w:val="auto"/>
                <w:lang w:val="en-US" w:eastAsia="zh-CN"/>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000" w:type="pct"/>
            <w:gridSpan w:val="14"/>
            <w:tcBorders>
              <w:top w:val="nil"/>
              <w:left w:val="nil"/>
              <w:bottom w:val="single" w:color="auto" w:sz="4" w:space="0"/>
              <w:right w:val="nil"/>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27" w:type="pct"/>
            <w:gridSpan w:val="2"/>
            <w:tcBorders>
              <w:top w:val="single" w:color="auto"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项目名称</w:t>
            </w:r>
          </w:p>
        </w:tc>
        <w:tc>
          <w:tcPr>
            <w:tcW w:w="4172" w:type="pct"/>
            <w:gridSpan w:val="12"/>
            <w:tcBorders>
              <w:top w:val="single" w:color="auto"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2023年阿克苏普乡供热技术提升改造项目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27"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主管部门</w:t>
            </w:r>
          </w:p>
        </w:tc>
        <w:tc>
          <w:tcPr>
            <w:tcW w:w="1649" w:type="pct"/>
            <w:gridSpan w:val="5"/>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尉犁县阿克苏普乡人民政府</w:t>
            </w:r>
          </w:p>
        </w:tc>
        <w:tc>
          <w:tcPr>
            <w:tcW w:w="709"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实施单位</w:t>
            </w:r>
          </w:p>
        </w:tc>
        <w:tc>
          <w:tcPr>
            <w:tcW w:w="1812" w:type="pct"/>
            <w:gridSpan w:val="5"/>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尉犁县阿克苏普乡人民政府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27"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lang w:val="en-US" w:eastAsia="zh-CN"/>
              </w:rPr>
            </w:pPr>
            <w:r>
              <w:rPr>
                <w:rFonts w:hint="eastAsia"/>
                <w:color w:val="auto"/>
                <w:sz w:val="15"/>
                <w:szCs w:val="15"/>
                <w:lang w:val="en-US" w:eastAsia="zh-CN"/>
              </w:rPr>
              <w:t>项目资金</w:t>
            </w:r>
          </w:p>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（万元）</w:t>
            </w:r>
          </w:p>
        </w:tc>
        <w:tc>
          <w:tcPr>
            <w:tcW w:w="707"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资金来源</w:t>
            </w:r>
          </w:p>
        </w:tc>
        <w:tc>
          <w:tcPr>
            <w:tcW w:w="380"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年初预算数</w:t>
            </w:r>
          </w:p>
        </w:tc>
        <w:tc>
          <w:tcPr>
            <w:tcW w:w="561"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全年预算数</w:t>
            </w:r>
          </w:p>
        </w:tc>
        <w:tc>
          <w:tcPr>
            <w:tcW w:w="709"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全年执行数</w:t>
            </w:r>
          </w:p>
        </w:tc>
        <w:tc>
          <w:tcPr>
            <w:tcW w:w="649"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分值权重</w:t>
            </w:r>
          </w:p>
        </w:tc>
        <w:tc>
          <w:tcPr>
            <w:tcW w:w="618"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执行率</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27"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707"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年度资金总额</w:t>
            </w:r>
          </w:p>
        </w:tc>
        <w:tc>
          <w:tcPr>
            <w:tcW w:w="380"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39.3</w:t>
            </w:r>
          </w:p>
        </w:tc>
        <w:tc>
          <w:tcPr>
            <w:tcW w:w="561"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39.3</w:t>
            </w:r>
          </w:p>
        </w:tc>
        <w:tc>
          <w:tcPr>
            <w:tcW w:w="709"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39.3</w:t>
            </w:r>
          </w:p>
        </w:tc>
        <w:tc>
          <w:tcPr>
            <w:tcW w:w="649"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w:t>
            </w:r>
          </w:p>
        </w:tc>
        <w:tc>
          <w:tcPr>
            <w:tcW w:w="618"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100%</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27"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707"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其中：当年财政拨款</w:t>
            </w:r>
          </w:p>
        </w:tc>
        <w:tc>
          <w:tcPr>
            <w:tcW w:w="380"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39.3</w:t>
            </w:r>
          </w:p>
        </w:tc>
        <w:tc>
          <w:tcPr>
            <w:tcW w:w="561"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39.3</w:t>
            </w:r>
          </w:p>
        </w:tc>
        <w:tc>
          <w:tcPr>
            <w:tcW w:w="709"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39.3</w:t>
            </w:r>
          </w:p>
        </w:tc>
        <w:tc>
          <w:tcPr>
            <w:tcW w:w="649"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c>
          <w:tcPr>
            <w:tcW w:w="618"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27"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707"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上年结转资金</w:t>
            </w:r>
          </w:p>
        </w:tc>
        <w:tc>
          <w:tcPr>
            <w:tcW w:w="380"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eastAsia="仿宋_GB2312"/>
                <w:color w:val="auto"/>
                <w:sz w:val="15"/>
                <w:szCs w:val="15"/>
                <w:lang w:val="en-US" w:eastAsia="zh-CN"/>
              </w:rPr>
            </w:pPr>
            <w:r>
              <w:rPr>
                <w:rFonts w:hint="eastAsia"/>
                <w:color w:val="auto"/>
                <w:sz w:val="15"/>
                <w:szCs w:val="15"/>
                <w:lang w:val="en-US" w:eastAsia="zh-CN"/>
              </w:rPr>
              <w:t>0</w:t>
            </w:r>
            <w:r>
              <w:rPr>
                <w:rFonts w:hint="eastAsia"/>
                <w:sz w:val="15"/>
                <w:szCs w:val="15"/>
                <w:lang w:val="en-US" w:eastAsia="zh-CN"/>
              </w:rPr>
              <w:t>.00</w:t>
            </w:r>
          </w:p>
        </w:tc>
        <w:tc>
          <w:tcPr>
            <w:tcW w:w="561"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eastAsia="仿宋_GB2312"/>
                <w:color w:val="auto"/>
                <w:sz w:val="15"/>
                <w:szCs w:val="15"/>
                <w:lang w:val="en-US" w:eastAsia="zh-CN"/>
              </w:rPr>
            </w:pPr>
            <w:r>
              <w:rPr>
                <w:rFonts w:hint="eastAsia"/>
                <w:color w:val="auto"/>
                <w:sz w:val="15"/>
                <w:szCs w:val="15"/>
                <w:lang w:val="en-US" w:eastAsia="zh-CN"/>
              </w:rPr>
              <w:t>0</w:t>
            </w:r>
            <w:r>
              <w:rPr>
                <w:rFonts w:hint="eastAsia"/>
                <w:sz w:val="15"/>
                <w:szCs w:val="15"/>
                <w:lang w:val="en-US" w:eastAsia="zh-CN"/>
              </w:rPr>
              <w:t>.00</w:t>
            </w:r>
          </w:p>
        </w:tc>
        <w:tc>
          <w:tcPr>
            <w:tcW w:w="709"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eastAsia="仿宋_GB2312"/>
                <w:color w:val="auto"/>
                <w:sz w:val="15"/>
                <w:szCs w:val="15"/>
                <w:lang w:val="en-US" w:eastAsia="zh-CN"/>
              </w:rPr>
            </w:pPr>
            <w:r>
              <w:rPr>
                <w:rFonts w:hint="eastAsia"/>
                <w:color w:val="auto"/>
                <w:sz w:val="15"/>
                <w:szCs w:val="15"/>
                <w:lang w:val="en-US" w:eastAsia="zh-CN"/>
              </w:rPr>
              <w:t>0</w:t>
            </w:r>
            <w:r>
              <w:rPr>
                <w:rFonts w:hint="eastAsia"/>
                <w:sz w:val="15"/>
                <w:szCs w:val="15"/>
                <w:lang w:val="en-US" w:eastAsia="zh-CN"/>
              </w:rPr>
              <w:t>.00</w:t>
            </w:r>
          </w:p>
        </w:tc>
        <w:tc>
          <w:tcPr>
            <w:tcW w:w="649"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c>
          <w:tcPr>
            <w:tcW w:w="618"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27"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707"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其他资金</w:t>
            </w:r>
          </w:p>
        </w:tc>
        <w:tc>
          <w:tcPr>
            <w:tcW w:w="713" w:type="dxa"/>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color w:val="auto"/>
                <w:sz w:val="15"/>
                <w:szCs w:val="15"/>
              </w:rPr>
            </w:pPr>
            <w:r>
              <w:rPr>
                <w:rFonts w:hint="eastAsia"/>
                <w:color w:val="auto"/>
                <w:sz w:val="15"/>
                <w:szCs w:val="15"/>
                <w:lang w:val="en-US" w:eastAsia="zh-CN"/>
              </w:rPr>
              <w:t>0</w:t>
            </w:r>
            <w:r>
              <w:rPr>
                <w:rFonts w:hint="eastAsia"/>
                <w:sz w:val="15"/>
                <w:szCs w:val="15"/>
                <w:lang w:val="en-US" w:eastAsia="zh-CN"/>
              </w:rPr>
              <w:t>.00</w:t>
            </w:r>
          </w:p>
        </w:tc>
        <w:tc>
          <w:tcPr>
            <w:tcW w:w="1053"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color w:val="auto"/>
                <w:sz w:val="15"/>
                <w:szCs w:val="15"/>
              </w:rPr>
            </w:pPr>
            <w:r>
              <w:rPr>
                <w:rFonts w:hint="eastAsia"/>
                <w:color w:val="auto"/>
                <w:sz w:val="15"/>
                <w:szCs w:val="15"/>
                <w:lang w:val="en-US" w:eastAsia="zh-CN"/>
              </w:rPr>
              <w:t>0</w:t>
            </w:r>
            <w:r>
              <w:rPr>
                <w:rFonts w:hint="eastAsia"/>
                <w:sz w:val="15"/>
                <w:szCs w:val="15"/>
                <w:lang w:val="en-US" w:eastAsia="zh-CN"/>
              </w:rPr>
              <w:t>.00</w:t>
            </w:r>
          </w:p>
        </w:tc>
        <w:tc>
          <w:tcPr>
            <w:tcW w:w="1331"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color w:val="auto"/>
                <w:sz w:val="15"/>
                <w:szCs w:val="15"/>
              </w:rPr>
            </w:pPr>
            <w:r>
              <w:rPr>
                <w:rFonts w:hint="eastAsia"/>
                <w:color w:val="auto"/>
                <w:sz w:val="15"/>
                <w:szCs w:val="15"/>
                <w:lang w:val="en-US" w:eastAsia="zh-CN"/>
              </w:rPr>
              <w:t>0</w:t>
            </w:r>
            <w:r>
              <w:rPr>
                <w:rFonts w:hint="eastAsia"/>
                <w:sz w:val="15"/>
                <w:szCs w:val="15"/>
                <w:lang w:val="en-US" w:eastAsia="zh-CN"/>
              </w:rPr>
              <w:t>.00</w:t>
            </w:r>
          </w:p>
        </w:tc>
        <w:tc>
          <w:tcPr>
            <w:tcW w:w="649"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c>
          <w:tcPr>
            <w:tcW w:w="618"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530"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年度总体目标</w:t>
            </w:r>
          </w:p>
        </w:tc>
        <w:tc>
          <w:tcPr>
            <w:tcW w:w="2656" w:type="pct"/>
            <w:gridSpan w:val="8"/>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总体目标</w:t>
            </w:r>
          </w:p>
        </w:tc>
        <w:tc>
          <w:tcPr>
            <w:tcW w:w="1812" w:type="pct"/>
            <w:gridSpan w:val="5"/>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0" w:hRule="atLeast"/>
        </w:trPr>
        <w:tc>
          <w:tcPr>
            <w:tcW w:w="530"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2656" w:type="pct"/>
            <w:gridSpan w:val="8"/>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对阿克苏普乡供热技术提升改造，采购一批400千瓦变压器及相关配件，践行绿色环保理念，减少使用不可再生资源的使用，减少大气污染。</w:t>
            </w:r>
          </w:p>
        </w:tc>
        <w:tc>
          <w:tcPr>
            <w:tcW w:w="1812" w:type="pct"/>
            <w:gridSpan w:val="5"/>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eastAsia="zh-CN"/>
              </w:rPr>
              <w:t>截至2023年</w:t>
            </w:r>
            <w:r>
              <w:rPr>
                <w:rFonts w:hint="eastAsia"/>
                <w:color w:val="auto"/>
                <w:sz w:val="15"/>
                <w:szCs w:val="15"/>
              </w:rPr>
              <w:t>12月，该项目已完工并投入使用，供热技术得到提升改造，已采购一批400千瓦变压器及相关配件，不断践行绿色环保理念，现已</w:t>
            </w:r>
            <w:r>
              <w:rPr>
                <w:rFonts w:hint="eastAsia"/>
                <w:color w:val="auto"/>
                <w:sz w:val="15"/>
                <w:szCs w:val="15"/>
                <w:lang w:eastAsia="zh-CN"/>
              </w:rPr>
              <w:t>不再</w:t>
            </w:r>
            <w:r>
              <w:rPr>
                <w:rFonts w:hint="eastAsia"/>
                <w:color w:val="auto"/>
                <w:sz w:val="15"/>
                <w:szCs w:val="15"/>
              </w:rPr>
              <w:t>使用煤采暖，大大减少了大气污染。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8" w:hRule="atLeast"/>
        </w:trPr>
        <w:tc>
          <w:tcPr>
            <w:tcW w:w="530"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29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一级指标</w:t>
            </w:r>
          </w:p>
        </w:tc>
        <w:tc>
          <w:tcPr>
            <w:tcW w:w="329"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二级指标</w:t>
            </w:r>
          </w:p>
        </w:tc>
        <w:tc>
          <w:tcPr>
            <w:tcW w:w="378"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三级指标</w:t>
            </w:r>
          </w:p>
        </w:tc>
        <w:tc>
          <w:tcPr>
            <w:tcW w:w="380"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指标值</w:t>
            </w:r>
          </w:p>
        </w:tc>
        <w:tc>
          <w:tcPr>
            <w:tcW w:w="28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指标值设置依据</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上年完成值</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指标分值权重</w:t>
            </w:r>
          </w:p>
        </w:tc>
        <w:tc>
          <w:tcPr>
            <w:tcW w:w="40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指标赋分规则</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佐证资料</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指标实际完成值</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完成率</w:t>
            </w:r>
          </w:p>
        </w:tc>
        <w:tc>
          <w:tcPr>
            <w:tcW w:w="31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指标得分</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30"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年度绩效指标完成情况</w:t>
            </w:r>
          </w:p>
        </w:tc>
        <w:tc>
          <w:tcPr>
            <w:tcW w:w="29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产出指标</w:t>
            </w:r>
          </w:p>
        </w:tc>
        <w:tc>
          <w:tcPr>
            <w:tcW w:w="329"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数量指标</w:t>
            </w:r>
          </w:p>
        </w:tc>
        <w:tc>
          <w:tcPr>
            <w:tcW w:w="378"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采购变压器数量</w:t>
            </w:r>
          </w:p>
        </w:tc>
        <w:tc>
          <w:tcPr>
            <w:tcW w:w="380"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=1个</w:t>
            </w:r>
          </w:p>
        </w:tc>
        <w:tc>
          <w:tcPr>
            <w:tcW w:w="28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计划标准</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eastAsia="仿宋_GB2312"/>
                <w:color w:val="auto"/>
                <w:sz w:val="15"/>
                <w:szCs w:val="15"/>
                <w:lang w:val="en-US" w:eastAsia="zh-CN"/>
              </w:rPr>
            </w:pPr>
            <w:r>
              <w:rPr>
                <w:rFonts w:hint="eastAsia"/>
                <w:color w:val="auto"/>
                <w:sz w:val="15"/>
                <w:szCs w:val="15"/>
                <w:lang w:val="en-US" w:eastAsia="zh-CN"/>
              </w:rPr>
              <w:t>/</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14</w:t>
            </w:r>
          </w:p>
        </w:tc>
        <w:tc>
          <w:tcPr>
            <w:tcW w:w="40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eastAsia="仿宋_GB2312"/>
                <w:color w:val="auto"/>
                <w:sz w:val="15"/>
                <w:szCs w:val="15"/>
                <w:lang w:eastAsia="zh-CN"/>
              </w:rPr>
            </w:pPr>
            <w:r>
              <w:rPr>
                <w:rFonts w:hint="eastAsia"/>
                <w:color w:val="auto"/>
                <w:sz w:val="15"/>
                <w:szCs w:val="15"/>
                <w:lang w:eastAsia="zh-CN"/>
              </w:rPr>
              <w:t>按照完成比例赋分</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工作资料</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1个</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100%</w:t>
            </w:r>
          </w:p>
        </w:tc>
        <w:tc>
          <w:tcPr>
            <w:tcW w:w="31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14</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30"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29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329"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质量指标</w:t>
            </w:r>
          </w:p>
        </w:tc>
        <w:tc>
          <w:tcPr>
            <w:tcW w:w="378"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设备验收合格率</w:t>
            </w:r>
          </w:p>
        </w:tc>
        <w:tc>
          <w:tcPr>
            <w:tcW w:w="380"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=100%</w:t>
            </w:r>
          </w:p>
        </w:tc>
        <w:tc>
          <w:tcPr>
            <w:tcW w:w="28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计划标准</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eastAsia="仿宋_GB2312"/>
                <w:color w:val="auto"/>
                <w:sz w:val="15"/>
                <w:szCs w:val="15"/>
                <w:lang w:val="en-US" w:eastAsia="zh-CN"/>
              </w:rPr>
            </w:pPr>
            <w:r>
              <w:rPr>
                <w:rFonts w:hint="eastAsia"/>
                <w:color w:val="auto"/>
                <w:sz w:val="15"/>
                <w:szCs w:val="15"/>
                <w:lang w:val="en-US" w:eastAsia="zh-CN"/>
              </w:rPr>
              <w:t>/</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13</w:t>
            </w:r>
          </w:p>
        </w:tc>
        <w:tc>
          <w:tcPr>
            <w:tcW w:w="40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eastAsia="仿宋_GB2312"/>
                <w:color w:val="auto"/>
                <w:sz w:val="15"/>
                <w:szCs w:val="15"/>
                <w:lang w:eastAsia="zh-CN"/>
              </w:rPr>
            </w:pPr>
            <w:r>
              <w:rPr>
                <w:rFonts w:hint="eastAsia"/>
                <w:color w:val="auto"/>
                <w:sz w:val="15"/>
                <w:szCs w:val="15"/>
                <w:lang w:eastAsia="zh-CN"/>
              </w:rPr>
              <w:t>按照完成比例赋分</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工作资料</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100%</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100%</w:t>
            </w:r>
          </w:p>
        </w:tc>
        <w:tc>
          <w:tcPr>
            <w:tcW w:w="31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13</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30"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29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329"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时效指标</w:t>
            </w:r>
          </w:p>
        </w:tc>
        <w:tc>
          <w:tcPr>
            <w:tcW w:w="378"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工程完工及时率</w:t>
            </w:r>
          </w:p>
        </w:tc>
        <w:tc>
          <w:tcPr>
            <w:tcW w:w="380"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=100%</w:t>
            </w:r>
          </w:p>
        </w:tc>
        <w:tc>
          <w:tcPr>
            <w:tcW w:w="28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计划标准</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13</w:t>
            </w:r>
          </w:p>
        </w:tc>
        <w:tc>
          <w:tcPr>
            <w:tcW w:w="40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eastAsia="仿宋_GB2312"/>
                <w:color w:val="auto"/>
                <w:sz w:val="15"/>
                <w:szCs w:val="15"/>
                <w:lang w:eastAsia="zh-CN"/>
              </w:rPr>
            </w:pPr>
            <w:r>
              <w:rPr>
                <w:rFonts w:hint="eastAsia"/>
                <w:color w:val="auto"/>
                <w:sz w:val="15"/>
                <w:szCs w:val="15"/>
                <w:lang w:eastAsia="zh-CN"/>
              </w:rPr>
              <w:t>按照完成比例赋分</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工作资料</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100%</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100%</w:t>
            </w:r>
          </w:p>
        </w:tc>
        <w:tc>
          <w:tcPr>
            <w:tcW w:w="31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13</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30"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29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成本指标</w:t>
            </w:r>
          </w:p>
        </w:tc>
        <w:tc>
          <w:tcPr>
            <w:tcW w:w="329"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经济成本指标</w:t>
            </w:r>
          </w:p>
        </w:tc>
        <w:tc>
          <w:tcPr>
            <w:tcW w:w="378"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采购设备成本</w:t>
            </w:r>
          </w:p>
        </w:tc>
        <w:tc>
          <w:tcPr>
            <w:tcW w:w="380"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&lt;=24.67万元/套</w:t>
            </w:r>
          </w:p>
        </w:tc>
        <w:tc>
          <w:tcPr>
            <w:tcW w:w="28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计划标准</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eastAsia="仿宋_GB2312"/>
                <w:color w:val="auto"/>
                <w:sz w:val="15"/>
                <w:szCs w:val="15"/>
                <w:lang w:val="en-US" w:eastAsia="zh-CN"/>
              </w:rPr>
            </w:pPr>
            <w:r>
              <w:rPr>
                <w:rFonts w:hint="eastAsia"/>
                <w:color w:val="auto"/>
                <w:sz w:val="15"/>
                <w:szCs w:val="15"/>
                <w:lang w:val="en-US" w:eastAsia="zh-CN"/>
              </w:rPr>
              <w:t>/</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10</w:t>
            </w:r>
          </w:p>
        </w:tc>
        <w:tc>
          <w:tcPr>
            <w:tcW w:w="40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eastAsia="仿宋_GB2312"/>
                <w:color w:val="auto"/>
                <w:sz w:val="15"/>
                <w:szCs w:val="15"/>
                <w:lang w:eastAsia="zh-CN"/>
              </w:rPr>
            </w:pPr>
            <w:r>
              <w:rPr>
                <w:rFonts w:hint="eastAsia"/>
                <w:color w:val="auto"/>
                <w:sz w:val="15"/>
                <w:szCs w:val="15"/>
                <w:lang w:eastAsia="zh-CN"/>
              </w:rPr>
              <w:t>按照完成比例赋分</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原始凭证</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24.67万元/套</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100%</w:t>
            </w:r>
          </w:p>
        </w:tc>
        <w:tc>
          <w:tcPr>
            <w:tcW w:w="31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10</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8" w:hRule="atLeast"/>
        </w:trPr>
        <w:tc>
          <w:tcPr>
            <w:tcW w:w="530"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29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329"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经济成本指标</w:t>
            </w:r>
          </w:p>
        </w:tc>
        <w:tc>
          <w:tcPr>
            <w:tcW w:w="378"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1"/>
                <w:szCs w:val="11"/>
              </w:rPr>
              <w:t>安装及附属设施费用</w:t>
            </w:r>
          </w:p>
        </w:tc>
        <w:tc>
          <w:tcPr>
            <w:tcW w:w="380"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&lt;=14.63万元</w:t>
            </w:r>
          </w:p>
        </w:tc>
        <w:tc>
          <w:tcPr>
            <w:tcW w:w="28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计划标准</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10</w:t>
            </w:r>
          </w:p>
        </w:tc>
        <w:tc>
          <w:tcPr>
            <w:tcW w:w="40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eastAsia="仿宋_GB2312"/>
                <w:color w:val="auto"/>
                <w:sz w:val="15"/>
                <w:szCs w:val="15"/>
                <w:lang w:eastAsia="zh-CN"/>
              </w:rPr>
            </w:pPr>
            <w:r>
              <w:rPr>
                <w:rFonts w:hint="eastAsia"/>
                <w:color w:val="auto"/>
                <w:sz w:val="15"/>
                <w:szCs w:val="15"/>
                <w:lang w:eastAsia="zh-CN"/>
              </w:rPr>
              <w:t>按照完成比例赋分</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原始凭证</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14.63万元</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100%</w:t>
            </w:r>
          </w:p>
        </w:tc>
        <w:tc>
          <w:tcPr>
            <w:tcW w:w="31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10</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30"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29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效益指标</w:t>
            </w:r>
          </w:p>
        </w:tc>
        <w:tc>
          <w:tcPr>
            <w:tcW w:w="329"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社会效益指标</w:t>
            </w:r>
          </w:p>
        </w:tc>
        <w:tc>
          <w:tcPr>
            <w:tcW w:w="378"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改善供热基础设施</w:t>
            </w:r>
          </w:p>
        </w:tc>
        <w:tc>
          <w:tcPr>
            <w:tcW w:w="380"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有效改善</w:t>
            </w:r>
          </w:p>
        </w:tc>
        <w:tc>
          <w:tcPr>
            <w:tcW w:w="28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计划标准</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10</w:t>
            </w:r>
          </w:p>
        </w:tc>
        <w:tc>
          <w:tcPr>
            <w:tcW w:w="40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按评判等级赋分</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工作资料</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有效改善</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100%</w:t>
            </w:r>
          </w:p>
        </w:tc>
        <w:tc>
          <w:tcPr>
            <w:tcW w:w="31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10</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30"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29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329"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生态效益指标</w:t>
            </w:r>
          </w:p>
        </w:tc>
        <w:tc>
          <w:tcPr>
            <w:tcW w:w="378"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改善生态环境</w:t>
            </w:r>
          </w:p>
        </w:tc>
        <w:tc>
          <w:tcPr>
            <w:tcW w:w="380"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有效改善</w:t>
            </w:r>
          </w:p>
        </w:tc>
        <w:tc>
          <w:tcPr>
            <w:tcW w:w="28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计划标准</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eastAsia="仿宋_GB2312"/>
                <w:color w:val="auto"/>
                <w:sz w:val="15"/>
                <w:szCs w:val="15"/>
                <w:lang w:val="en-US" w:eastAsia="zh-CN"/>
              </w:rPr>
            </w:pPr>
            <w:r>
              <w:rPr>
                <w:rFonts w:hint="eastAsia"/>
                <w:color w:val="auto"/>
                <w:sz w:val="15"/>
                <w:szCs w:val="15"/>
                <w:lang w:val="en-US" w:eastAsia="zh-CN"/>
              </w:rPr>
              <w:t>/</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10</w:t>
            </w:r>
          </w:p>
        </w:tc>
        <w:tc>
          <w:tcPr>
            <w:tcW w:w="40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按评判等级赋分</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工作资料</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有效改善</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100%</w:t>
            </w:r>
          </w:p>
        </w:tc>
        <w:tc>
          <w:tcPr>
            <w:tcW w:w="31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10</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30"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29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满意度指标</w:t>
            </w:r>
          </w:p>
        </w:tc>
        <w:tc>
          <w:tcPr>
            <w:tcW w:w="329"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满意度指标</w:t>
            </w:r>
          </w:p>
        </w:tc>
        <w:tc>
          <w:tcPr>
            <w:tcW w:w="378"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受益人员满意度</w:t>
            </w:r>
          </w:p>
        </w:tc>
        <w:tc>
          <w:tcPr>
            <w:tcW w:w="380"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&gt;=95%</w:t>
            </w:r>
          </w:p>
        </w:tc>
        <w:tc>
          <w:tcPr>
            <w:tcW w:w="28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计划标准</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10</w:t>
            </w:r>
          </w:p>
        </w:tc>
        <w:tc>
          <w:tcPr>
            <w:tcW w:w="40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满意度赋分</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rPr>
              <w:t>工作资料</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95%</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100%</w:t>
            </w:r>
          </w:p>
        </w:tc>
        <w:tc>
          <w:tcPr>
            <w:tcW w:w="31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color w:val="auto"/>
                <w:sz w:val="15"/>
                <w:szCs w:val="15"/>
                <w:lang w:val="en-US" w:eastAsia="zh-CN"/>
              </w:rPr>
            </w:pPr>
            <w:r>
              <w:rPr>
                <w:rFonts w:hint="eastAsia"/>
                <w:color w:val="auto"/>
                <w:sz w:val="15"/>
                <w:szCs w:val="15"/>
                <w:lang w:val="en-US" w:eastAsia="zh-CN"/>
              </w:rPr>
              <w:t>10</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35" w:type="pct"/>
            <w:gridSpan w:val="4"/>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总分</w:t>
            </w:r>
          </w:p>
        </w:tc>
        <w:tc>
          <w:tcPr>
            <w:tcW w:w="380"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28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40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c>
          <w:tcPr>
            <w:tcW w:w="31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r>
              <w:rPr>
                <w:rFonts w:hint="eastAsia"/>
                <w:color w:val="auto"/>
                <w:sz w:val="15"/>
                <w:szCs w:val="15"/>
                <w:lang w:val="en-US" w:eastAsia="zh-CN"/>
              </w:rPr>
              <w:t>100</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rPr>
            </w:pPr>
          </w:p>
        </w:tc>
      </w:tr>
    </w:tbl>
    <w:p>
      <w:pPr>
        <w:ind w:firstLine="600"/>
        <w:rPr>
          <w:color w:val="auto"/>
          <w:sz w:val="30"/>
          <w:szCs w:val="30"/>
        </w:rPr>
      </w:pPr>
      <w:r>
        <w:rPr>
          <w:color w:val="auto"/>
          <w:sz w:val="30"/>
          <w:szCs w:val="30"/>
        </w:rPr>
        <w:br w:type="page"/>
      </w:r>
    </w:p>
    <w:p>
      <w:pPr>
        <w:pStyle w:val="4"/>
        <w:bidi w:val="0"/>
        <w:rPr>
          <w:color w:val="auto"/>
        </w:rPr>
      </w:pPr>
      <w:bookmarkStart w:id="37" w:name="_Toc23301"/>
      <w:r>
        <w:rPr>
          <w:color w:val="auto"/>
        </w:rPr>
        <w:t>附件</w:t>
      </w:r>
      <w:r>
        <w:rPr>
          <w:rFonts w:hint="eastAsia"/>
          <w:color w:val="auto"/>
        </w:rPr>
        <w:t>2</w:t>
      </w:r>
      <w:r>
        <w:rPr>
          <w:color w:val="auto"/>
        </w:rPr>
        <w:t>：项目支出绩效评价指标体系及评分</w:t>
      </w:r>
      <w:bookmarkEnd w:id="34"/>
      <w:bookmarkEnd w:id="35"/>
      <w:bookmarkEnd w:id="36"/>
      <w:bookmarkEnd w:id="37"/>
    </w:p>
    <w:p>
      <w:pPr>
        <w:pStyle w:val="12"/>
        <w:bidi w:val="0"/>
        <w:rPr>
          <w:color w:val="auto"/>
        </w:rPr>
      </w:pPr>
      <w:r>
        <w:rPr>
          <w:color w:val="auto"/>
        </w:rPr>
        <w:t>项目支出绩效评价指标体系及评分</w:t>
      </w:r>
    </w:p>
    <w:tbl>
      <w:tblPr>
        <w:tblStyle w:val="10"/>
        <w:tblpPr w:leftFromText="180" w:rightFromText="180" w:vertAnchor="text" w:horzAnchor="page" w:tblpX="1789" w:tblpY="180"/>
        <w:tblOverlap w:val="never"/>
        <w:tblW w:w="4930" w:type="pct"/>
        <w:tblInd w:w="0" w:type="dxa"/>
        <w:tblLayout w:type="autofit"/>
        <w:tblCellMar>
          <w:top w:w="0" w:type="dxa"/>
          <w:left w:w="108" w:type="dxa"/>
          <w:bottom w:w="0" w:type="dxa"/>
          <w:right w:w="108" w:type="dxa"/>
        </w:tblCellMar>
      </w:tblPr>
      <w:tblGrid>
        <w:gridCol w:w="591"/>
        <w:gridCol w:w="766"/>
        <w:gridCol w:w="911"/>
        <w:gridCol w:w="1674"/>
        <w:gridCol w:w="3399"/>
        <w:gridCol w:w="531"/>
        <w:gridCol w:w="531"/>
      </w:tblGrid>
      <w:tr>
        <w:tblPrEx>
          <w:tblCellMar>
            <w:top w:w="0" w:type="dxa"/>
            <w:left w:w="108" w:type="dxa"/>
            <w:bottom w:w="0" w:type="dxa"/>
            <w:right w:w="108" w:type="dxa"/>
          </w:tblCellMar>
        </w:tblPrEx>
        <w:trPr>
          <w:trHeight w:val="460" w:hRule="atLeast"/>
        </w:trPr>
        <w:tc>
          <w:tcPr>
            <w:tcW w:w="35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一级指标</w:t>
            </w:r>
          </w:p>
        </w:tc>
        <w:tc>
          <w:tcPr>
            <w:tcW w:w="4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二级指标</w:t>
            </w: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三级指标</w:t>
            </w:r>
          </w:p>
        </w:tc>
        <w:tc>
          <w:tcPr>
            <w:tcW w:w="996" w:type="pc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指标解释</w:t>
            </w:r>
          </w:p>
        </w:tc>
        <w:tc>
          <w:tcPr>
            <w:tcW w:w="20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指标说明</w:t>
            </w:r>
          </w:p>
        </w:tc>
        <w:tc>
          <w:tcPr>
            <w:tcW w:w="3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分值</w:t>
            </w:r>
          </w:p>
        </w:tc>
        <w:tc>
          <w:tcPr>
            <w:tcW w:w="3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rFonts w:hint="eastAsia"/>
                <w:color w:val="auto"/>
              </w:rPr>
              <w:t>得分</w:t>
            </w:r>
          </w:p>
        </w:tc>
      </w:tr>
      <w:tr>
        <w:tblPrEx>
          <w:tblCellMar>
            <w:top w:w="0" w:type="dxa"/>
            <w:left w:w="108" w:type="dxa"/>
            <w:bottom w:w="0" w:type="dxa"/>
            <w:right w:w="108" w:type="dxa"/>
          </w:tblCellMar>
        </w:tblPrEx>
        <w:trPr>
          <w:trHeight w:val="460" w:hRule="atLeast"/>
        </w:trPr>
        <w:tc>
          <w:tcPr>
            <w:tcW w:w="35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决策</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项目</w:t>
            </w:r>
            <w:r>
              <w:rPr>
                <w:rFonts w:hint="eastAsia"/>
                <w:color w:val="auto"/>
              </w:rPr>
              <w:t>实施</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rFonts w:hint="eastAsia"/>
                <w:color w:val="auto"/>
              </w:rPr>
              <w:t>实施</w:t>
            </w:r>
            <w:r>
              <w:rPr>
                <w:color w:val="auto"/>
              </w:rPr>
              <w:t>依据充分性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w:t>
            </w:r>
            <w:r>
              <w:rPr>
                <w:rFonts w:hint="eastAsia"/>
                <w:color w:val="auto"/>
              </w:rPr>
              <w:t>实施</w:t>
            </w:r>
            <w:r>
              <w:rPr>
                <w:color w:val="auto"/>
              </w:rPr>
              <w:t>是否符合法律法规、相关政策、发展规划以及部门职责，用以反映和考核项目</w:t>
            </w:r>
            <w:r>
              <w:rPr>
                <w:rFonts w:hint="eastAsia"/>
                <w:color w:val="auto"/>
              </w:rPr>
              <w:t>实施</w:t>
            </w:r>
            <w:r>
              <w:rPr>
                <w:color w:val="auto"/>
              </w:rPr>
              <w:t>依据情况。</w:t>
            </w: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3</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rPr>
            </w:pPr>
            <w:r>
              <w:rPr>
                <w:rFonts w:hint="eastAsia"/>
                <w:color w:val="auto"/>
              </w:rPr>
              <w:t>3</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①项目</w:t>
            </w:r>
            <w:r>
              <w:rPr>
                <w:rFonts w:hint="eastAsia"/>
                <w:color w:val="auto"/>
              </w:rPr>
              <w:t>实施</w:t>
            </w:r>
            <w:r>
              <w:rPr>
                <w:color w:val="auto"/>
              </w:rPr>
              <w:t>是否符合国家法律法规、国民经济发展规划和相关政策；</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②项目</w:t>
            </w:r>
            <w:r>
              <w:rPr>
                <w:rFonts w:hint="eastAsia"/>
                <w:color w:val="auto"/>
              </w:rPr>
              <w:t>实施</w:t>
            </w:r>
            <w:r>
              <w:rPr>
                <w:color w:val="auto"/>
              </w:rPr>
              <w:t>是否符合行业发展规划和政策要求；</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③项目</w:t>
            </w:r>
            <w:r>
              <w:rPr>
                <w:rFonts w:hint="eastAsia"/>
                <w:color w:val="auto"/>
              </w:rPr>
              <w:t>实施</w:t>
            </w:r>
            <w:r>
              <w:rPr>
                <w:color w:val="auto"/>
              </w:rPr>
              <w:t>是否与部门职责范围相符，属于部门履职所需；</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④项目是否属于公共财政支持范围，是否符合中央、地方事权支出责任划分原则；</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⑤项目是否与相关部门同类项目或部门内部相关项目重复。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rFonts w:hint="eastAsia"/>
                <w:color w:val="auto"/>
              </w:rPr>
              <w:t>实施</w:t>
            </w:r>
            <w:r>
              <w:rPr>
                <w:color w:val="auto"/>
              </w:rPr>
              <w:t>程序规范性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项目申请、设立过程是否符合相关要求，用以反映和考核项目</w:t>
            </w:r>
            <w:r>
              <w:rPr>
                <w:rFonts w:hint="eastAsia"/>
                <w:color w:val="auto"/>
              </w:rPr>
              <w:t>实施</w:t>
            </w:r>
            <w:r>
              <w:rPr>
                <w:color w:val="auto"/>
              </w:rPr>
              <w:t>的规范情况。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3</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rPr>
            </w:pPr>
            <w:r>
              <w:rPr>
                <w:rFonts w:hint="eastAsia"/>
                <w:color w:val="auto"/>
              </w:rPr>
              <w:t>3</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①项目是否按照规定的程序申请设立；</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②审批文件、材料是否符合相关要求；</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绩效目标</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绩效目标合理性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项目所设定的绩效目标是否依据充分，是否符合客观实际，用以反映和考核项目绩效目标与项目实施的相符情况。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rPr>
            </w:pPr>
            <w:r>
              <w:rPr>
                <w:rFonts w:hint="eastAsia"/>
                <w:color w:val="auto"/>
              </w:rPr>
              <w:t>4</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①项目是否有绩效目标；</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②项目绩效目标与实际工作内容是否具有相关性；</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③项目预期产出效益和效果是否符合正常的业绩水平；</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④是否与预算确定的项目投资额或资金量相匹配。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绩效指标明确性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依据绩效目标设定的绩效指标是否清晰、细化、可衡量等，用以反映和考核项目绩效目标的明细化情况。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rPr>
            </w:pPr>
            <w:r>
              <w:rPr>
                <w:rFonts w:hint="eastAsia"/>
                <w:color w:val="auto"/>
              </w:rPr>
              <w:t>4</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①是否将项目绩效目标细化分解为具体的绩效指标；</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②是否通过清晰、可衡量的指标值予以体现；</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③是否与项目目标任务数或计划数相对应。</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资金投入</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预算编制科学性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项目预算编制是否经过科学论证、有明确标准，资金额度与年度目标是否相适应，用以反映和考核项目预算编制的科学性、合理性情况。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rPr>
            </w:pPr>
            <w:r>
              <w:rPr>
                <w:rFonts w:hint="eastAsia"/>
                <w:color w:val="auto"/>
              </w:rPr>
              <w:t>4</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①预算编制是否经过科学论证；</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②预算内容与项目内容是否匹配；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③预算额度测算依据是否充分，是否按照标准编制；</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④预算确定的项目投资额或资金量是否与工作任务相匹配。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资金分配合理性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项目预算资金分配是否有测算依据，与补助单位或地方实际是否相适应，用以反映和考核项目预算资金分配的科学性、合理性情况。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rPr>
            </w:pPr>
            <w:r>
              <w:rPr>
                <w:rFonts w:hint="eastAsia"/>
                <w:color w:val="auto"/>
              </w:rPr>
              <w:t>4</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①预算资金分配依据是否充分；</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②资金分配额度是否合理，与</w:t>
            </w:r>
            <w:r>
              <w:rPr>
                <w:rFonts w:hint="eastAsia"/>
                <w:color w:val="auto"/>
              </w:rPr>
              <w:t>补助</w:t>
            </w:r>
            <w:r>
              <w:rPr>
                <w:color w:val="auto"/>
              </w:rPr>
              <w:t>项目单位或地方实际是否相适应。</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过程</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资金管理</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资金到位率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实际到位资金与预算资金的比率，用以反映和考核资金落实情况对项目实施的总体保障程度。</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资金到位率=（实际到位资金/预算资金）×100%。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rPr>
            </w:pPr>
            <w:r>
              <w:rPr>
                <w:rFonts w:hint="eastAsia"/>
                <w:color w:val="auto"/>
              </w:rPr>
              <w:t>4</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实际到位资金：一定时期（本年度或项目期）内落实到具体项目的资金。</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预算资金：一定时期（本年度或项目期）内预算安排到具体项目的资金。</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预算执行率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项目预算资金是否按照计划执行，用以反映或考核项目预算执行情况。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预算执行率=（实际支出资金/实际到位资金）×100%。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rPr>
            </w:pPr>
            <w:r>
              <w:rPr>
                <w:rFonts w:hint="eastAsia"/>
                <w:color w:val="auto"/>
              </w:rPr>
              <w:t>4</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实际支出资金：一定时期（本年度或项目期）内项目实际拨付的资金。</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资金使用合规性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项目资金使用是否符合相关的财务管理制度规定，用以反映和考核项目资金的规范运行情况。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rPr>
            </w:pPr>
            <w:r>
              <w:rPr>
                <w:rFonts w:hint="eastAsia"/>
                <w:color w:val="auto"/>
              </w:rPr>
              <w:t>4</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①是否符合国家财经法规和财务管理制度以及有关专项资金管理办法的规定；</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②资金的拨付是否有完整的审批程序和手续；</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③是否符合项目预算批复或合同规定的用途；</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④是否存在截留、挤占、挪用、虚列支出等情况。</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组织实施</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管理制度健全性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项目实施单位的财务和业务管理制度是否健全，用以反映和考核财务和业务管理制度对项目顺利实施的保障情况。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3</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rPr>
            </w:pPr>
            <w:r>
              <w:rPr>
                <w:rFonts w:hint="eastAsia"/>
                <w:color w:val="auto"/>
              </w:rPr>
              <w:t>3</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①是否已制定或具有相应的财务和业务管理制度；</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②财务和业务管理制度是否合法、合规、完整。</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制度执行有效性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项目实施是否符合相关管理规定，用以反映和考核相关管理制度的有效执行情况。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3</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rPr>
            </w:pPr>
            <w:r>
              <w:rPr>
                <w:rFonts w:hint="eastAsia"/>
                <w:color w:val="auto"/>
              </w:rPr>
              <w:t>3</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①是否遵守相关法律法规和相关管理规定；</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②项目调整及支出调整手续是否完备；</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restart"/>
            <w:tcBorders>
              <w:top w:val="single" w:color="000000" w:sz="4" w:space="0"/>
              <w:left w:val="single" w:color="000000" w:sz="4" w:space="0"/>
              <w:right w:val="single" w:color="000000" w:sz="4" w:space="0"/>
            </w:tcBorders>
            <w:shd w:val="clear" w:color="auto" w:fill="FFFFFF"/>
            <w:vAlign w:val="center"/>
          </w:tcPr>
          <w:p>
            <w:pPr>
              <w:pStyle w:val="13"/>
              <w:bidi w:val="0"/>
              <w:rPr>
                <w:color w:val="auto"/>
              </w:rPr>
            </w:pPr>
            <w:r>
              <w:rPr>
                <w:color w:val="auto"/>
              </w:rPr>
              <w:t>产出</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产出数量</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实际完成率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项目实施的实际产出数与计划产出数的比率，用以反映和考核项目产出数量目标的实现程度。</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实际完成率=（实际产出数/计划产出数）×100%。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hint="default" w:eastAsia="仿宋_GB2312"/>
                <w:color w:val="auto"/>
                <w:lang w:val="en-US" w:eastAsia="zh-CN"/>
              </w:rPr>
            </w:pPr>
            <w:r>
              <w:rPr>
                <w:rFonts w:hint="eastAsia"/>
                <w:color w:val="auto"/>
                <w:lang w:val="en-US" w:eastAsia="zh-CN"/>
              </w:rPr>
              <w:t>12</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rFonts w:hint="default" w:eastAsia="仿宋_GB2312"/>
                <w:color w:val="auto"/>
                <w:lang w:val="en-US" w:eastAsia="zh-CN"/>
              </w:rPr>
            </w:pPr>
            <w:r>
              <w:rPr>
                <w:rFonts w:hint="eastAsia"/>
                <w:color w:val="auto"/>
                <w:lang w:val="en-US" w:eastAsia="zh-CN"/>
              </w:rPr>
              <w:t>12</w:t>
            </w:r>
          </w:p>
        </w:tc>
      </w:tr>
      <w:tr>
        <w:tblPrEx>
          <w:tblCellMar>
            <w:top w:w="0" w:type="dxa"/>
            <w:left w:w="108" w:type="dxa"/>
            <w:bottom w:w="0" w:type="dxa"/>
            <w:right w:w="108" w:type="dxa"/>
          </w:tblCellMar>
        </w:tblPrEx>
        <w:trPr>
          <w:trHeight w:val="460" w:hRule="atLeast"/>
        </w:trPr>
        <w:tc>
          <w:tcPr>
            <w:tcW w:w="352" w:type="pct"/>
            <w:vMerge w:val="continue"/>
            <w:tcBorders>
              <w:left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实际产出数：一定时期（本年度或项目期）内项目实际产出的产品或提供的服务数量。</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left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计划产出数：项目绩效目标确定的在一定时期（本年度或项目期）内计划产出的产品或提供的服务数量。</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780" w:hRule="atLeast"/>
        </w:trPr>
        <w:tc>
          <w:tcPr>
            <w:tcW w:w="352" w:type="pct"/>
            <w:vMerge w:val="continue"/>
            <w:tcBorders>
              <w:left w:val="single" w:color="000000" w:sz="4" w:space="0"/>
              <w:right w:val="single" w:color="000000" w:sz="4" w:space="0"/>
            </w:tcBorders>
            <w:shd w:val="clear" w:color="auto" w:fill="FFFFFF"/>
            <w:vAlign w:val="center"/>
          </w:tcPr>
          <w:p>
            <w:pPr>
              <w:pStyle w:val="13"/>
              <w:bidi w:val="0"/>
              <w:rPr>
                <w:color w:val="auto"/>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产出质量</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质量达标率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项目完成的质量达标产出数与实际产出数的比率，用以反映和考核项目产出质量目标的实现程度。</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质量达标率=（质量达标产出数/实际产出数）×100%。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hint="default" w:eastAsia="仿宋_GB2312"/>
                <w:color w:val="auto"/>
                <w:lang w:val="en-US" w:eastAsia="zh-CN"/>
              </w:rPr>
            </w:pPr>
            <w:r>
              <w:rPr>
                <w:rFonts w:hint="eastAsia"/>
                <w:color w:val="auto"/>
                <w:lang w:val="en-US" w:eastAsia="zh-CN"/>
              </w:rPr>
              <w:t>12</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rFonts w:hint="default" w:eastAsia="仿宋_GB2312"/>
                <w:color w:val="auto"/>
                <w:lang w:val="en-US" w:eastAsia="zh-CN"/>
              </w:rPr>
            </w:pPr>
            <w:r>
              <w:rPr>
                <w:rFonts w:hint="eastAsia"/>
                <w:color w:val="auto"/>
                <w:lang w:val="en-US" w:eastAsia="zh-CN"/>
              </w:rPr>
              <w:t>12</w:t>
            </w:r>
          </w:p>
        </w:tc>
      </w:tr>
      <w:tr>
        <w:tblPrEx>
          <w:tblCellMar>
            <w:top w:w="0" w:type="dxa"/>
            <w:left w:w="108" w:type="dxa"/>
            <w:bottom w:w="0" w:type="dxa"/>
            <w:right w:w="108" w:type="dxa"/>
          </w:tblCellMar>
        </w:tblPrEx>
        <w:trPr>
          <w:trHeight w:val="880" w:hRule="atLeast"/>
        </w:trPr>
        <w:tc>
          <w:tcPr>
            <w:tcW w:w="352" w:type="pct"/>
            <w:vMerge w:val="continue"/>
            <w:tcBorders>
              <w:left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left w:val="single" w:color="000000" w:sz="4" w:space="0"/>
              <w:right w:val="single" w:color="000000" w:sz="4" w:space="0"/>
            </w:tcBorders>
            <w:shd w:val="clear" w:color="auto" w:fill="FFFFFF"/>
            <w:vAlign w:val="center"/>
          </w:tcPr>
          <w:p>
            <w:pPr>
              <w:pStyle w:val="13"/>
              <w:bidi w:val="0"/>
              <w:rPr>
                <w:color w:val="auto"/>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产出时效</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完成及时性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项目实际完成时间与计划完成时间的比较，用以反映和考核项目产出时效目标的实现程度。</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实际完成时间：项目实施单位完成该项目实际所耗用的时间。</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hint="default" w:eastAsia="仿宋_GB2312"/>
                <w:color w:val="auto"/>
                <w:lang w:val="en-US" w:eastAsia="zh-CN"/>
              </w:rPr>
            </w:pPr>
            <w:r>
              <w:rPr>
                <w:rFonts w:hint="eastAsia"/>
                <w:color w:val="auto"/>
                <w:lang w:val="en-US" w:eastAsia="zh-CN"/>
              </w:rPr>
              <w:t>12</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rFonts w:hint="default" w:eastAsia="仿宋_GB2312"/>
                <w:color w:val="auto"/>
                <w:lang w:val="en-US" w:eastAsia="zh-CN"/>
              </w:rPr>
            </w:pPr>
            <w:r>
              <w:rPr>
                <w:rFonts w:hint="eastAsia"/>
                <w:color w:val="auto"/>
                <w:lang w:val="en-US" w:eastAsia="zh-CN"/>
              </w:rPr>
              <w:t>12</w:t>
            </w:r>
          </w:p>
        </w:tc>
      </w:tr>
      <w:tr>
        <w:tblPrEx>
          <w:tblCellMar>
            <w:top w:w="0" w:type="dxa"/>
            <w:left w:w="108" w:type="dxa"/>
            <w:bottom w:w="0" w:type="dxa"/>
            <w:right w:w="108" w:type="dxa"/>
          </w:tblCellMar>
        </w:tblPrEx>
        <w:trPr>
          <w:trHeight w:val="460" w:hRule="atLeast"/>
        </w:trPr>
        <w:tc>
          <w:tcPr>
            <w:tcW w:w="352" w:type="pct"/>
            <w:vMerge w:val="continue"/>
            <w:tcBorders>
              <w:left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计划完成时间：按照项目实施计划或相关规定完成该项目所需的时间。</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57" w:hRule="atLeast"/>
        </w:trPr>
        <w:tc>
          <w:tcPr>
            <w:tcW w:w="352" w:type="pct"/>
            <w:vMerge w:val="continue"/>
            <w:tcBorders>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hint="default" w:ascii="Times New Roman" w:hAnsi="Times New Roman"/>
                <w:color w:val="auto"/>
                <w:lang w:val="en-US" w:eastAsia="zh-CN"/>
              </w:rPr>
            </w:pPr>
            <w:r>
              <w:rPr>
                <w:rFonts w:hint="default" w:ascii="Times New Roman" w:hAnsi="Times New Roman"/>
                <w:color w:val="auto"/>
              </w:rPr>
              <w:t>产出成本</w:t>
            </w: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hint="default" w:ascii="Times New Roman" w:hAnsi="Times New Roman"/>
                <w:color w:val="auto"/>
                <w:lang w:val="en-US" w:eastAsia="zh-CN"/>
              </w:rPr>
            </w:pPr>
            <w:r>
              <w:rPr>
                <w:rFonts w:hint="default" w:ascii="Times New Roman" w:hAnsi="Times New Roman"/>
                <w:color w:val="auto"/>
              </w:rPr>
              <w:t>成本节约率</w:t>
            </w:r>
          </w:p>
        </w:tc>
        <w:tc>
          <w:tcPr>
            <w:tcW w:w="996" w:type="pct"/>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hint="default" w:ascii="Times New Roman" w:hAnsi="Times New Roman"/>
                <w:color w:val="auto"/>
                <w:lang w:val="en-US" w:eastAsia="zh-CN"/>
              </w:rPr>
            </w:pPr>
            <w:r>
              <w:rPr>
                <w:rFonts w:hint="default" w:ascii="Times New Roman" w:hAnsi="Times New Roman"/>
                <w:color w:val="auto"/>
              </w:rPr>
              <w:t>完成项目计划工作目标的实际节约成本与计划成本的比率，用以反映和考核项目的成本节约程度。</w:t>
            </w:r>
          </w:p>
        </w:tc>
        <w:tc>
          <w:tcPr>
            <w:tcW w:w="20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hint="default" w:ascii="Times New Roman" w:hAnsi="Times New Roman"/>
                <w:color w:val="auto"/>
              </w:rPr>
            </w:pPr>
            <w:r>
              <w:rPr>
                <w:rFonts w:hint="default" w:ascii="Times New Roman" w:hAnsi="Times New Roman"/>
                <w:color w:val="auto"/>
              </w:rPr>
              <w:t>成本节约率=〔（计划成本</w:t>
            </w:r>
            <w:r>
              <w:rPr>
                <w:rFonts w:hint="default" w:ascii="Times New Roman" w:hAnsi="Times New Roman"/>
                <w:color w:val="auto"/>
                <w:lang w:eastAsia="zh-CN"/>
              </w:rPr>
              <w:t>－</w:t>
            </w:r>
            <w:r>
              <w:rPr>
                <w:rFonts w:hint="default" w:ascii="Times New Roman" w:hAnsi="Times New Roman"/>
                <w:color w:val="auto"/>
              </w:rPr>
              <w:t>实际成本）/计划成本〕×100%。</w:t>
            </w:r>
          </w:p>
          <w:p>
            <w:pPr>
              <w:pStyle w:val="13"/>
              <w:bidi w:val="0"/>
              <w:rPr>
                <w:rFonts w:hint="default" w:ascii="Times New Roman" w:hAnsi="Times New Roman"/>
                <w:color w:val="auto"/>
              </w:rPr>
            </w:pPr>
            <w:r>
              <w:rPr>
                <w:rFonts w:hint="default" w:ascii="Times New Roman" w:hAnsi="Times New Roman"/>
                <w:color w:val="auto"/>
              </w:rPr>
              <w:t>实际成本：项目实施单位如期、保质、保量完成既定工作目标实际所耗费的支出。</w:t>
            </w:r>
          </w:p>
          <w:p>
            <w:pPr>
              <w:pStyle w:val="13"/>
              <w:bidi w:val="0"/>
              <w:rPr>
                <w:rFonts w:hint="default" w:ascii="Times New Roman" w:hAnsi="Times New Roman"/>
                <w:color w:val="auto"/>
                <w:lang w:val="en-US" w:eastAsia="zh-CN"/>
              </w:rPr>
            </w:pPr>
            <w:r>
              <w:rPr>
                <w:rFonts w:hint="default" w:ascii="Times New Roman" w:hAnsi="Times New Roman"/>
                <w:color w:val="auto"/>
              </w:rPr>
              <w:t>计划成本：项目实施单位为完成工作目标计划安排的支出，一般以项目预算为参考。</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ind w:firstLine="0" w:firstLineChars="0"/>
              <w:rPr>
                <w:rFonts w:hint="default" w:ascii="Times New Roman" w:hAnsi="Times New Roman" w:eastAsia="仿宋_GB2312" w:cs="Times New Roman"/>
                <w:color w:val="auto"/>
                <w:kern w:val="44"/>
                <w:sz w:val="18"/>
                <w:szCs w:val="18"/>
                <w:highlight w:val="yellow"/>
                <w:lang w:val="en-US" w:eastAsia="zh-CN" w:bidi="ar-SA"/>
              </w:rPr>
            </w:pPr>
            <w:r>
              <w:rPr>
                <w:rFonts w:hint="eastAsia"/>
                <w:color w:val="auto"/>
                <w:lang w:val="en-US" w:eastAsia="zh-CN"/>
              </w:rPr>
              <w:t>4</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ind w:firstLine="0" w:firstLineChars="0"/>
              <w:rPr>
                <w:rFonts w:hint="eastAsia"/>
                <w:color w:val="auto"/>
              </w:rPr>
            </w:pPr>
            <w:r>
              <w:rPr>
                <w:rFonts w:hint="eastAsia"/>
                <w:color w:val="auto"/>
                <w:lang w:val="en-US" w:eastAsia="zh-CN"/>
              </w:rPr>
              <w:t>4</w:t>
            </w:r>
          </w:p>
        </w:tc>
      </w:tr>
      <w:tr>
        <w:tblPrEx>
          <w:tblCellMar>
            <w:top w:w="0" w:type="dxa"/>
            <w:left w:w="108" w:type="dxa"/>
            <w:bottom w:w="0" w:type="dxa"/>
            <w:right w:w="108" w:type="dxa"/>
          </w:tblCellMar>
        </w:tblPrEx>
        <w:trPr>
          <w:trHeight w:val="780" w:hRule="atLeast"/>
        </w:trPr>
        <w:tc>
          <w:tcPr>
            <w:tcW w:w="35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效益</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项目效益</w:t>
            </w: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实施效益</w:t>
            </w:r>
          </w:p>
        </w:tc>
        <w:tc>
          <w:tcPr>
            <w:tcW w:w="996" w:type="pc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项目实施所产生的效益。</w:t>
            </w:r>
          </w:p>
        </w:tc>
        <w:tc>
          <w:tcPr>
            <w:tcW w:w="20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项目实施所产生的社会效益、经济效益、生态效益、可持续影响等。可根据项目实际情况有选择地设置和细化。</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10</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rFonts w:hint="eastAsia"/>
                <w:color w:val="auto"/>
              </w:rPr>
              <w:t>10</w:t>
            </w:r>
          </w:p>
        </w:tc>
      </w:tr>
      <w:tr>
        <w:tblPrEx>
          <w:tblCellMar>
            <w:top w:w="0" w:type="dxa"/>
            <w:left w:w="108" w:type="dxa"/>
            <w:bottom w:w="0" w:type="dxa"/>
            <w:right w:w="108" w:type="dxa"/>
          </w:tblCellMar>
        </w:tblPrEx>
        <w:trPr>
          <w:trHeight w:val="8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满意度</w:t>
            </w:r>
          </w:p>
        </w:tc>
        <w:tc>
          <w:tcPr>
            <w:tcW w:w="996" w:type="pc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社会公众或服务对象对项目实施效果的满意程度。</w:t>
            </w:r>
          </w:p>
        </w:tc>
        <w:tc>
          <w:tcPr>
            <w:tcW w:w="20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社会公众或服务对象是指因该项目实施而受到影响的部门（单位）、群体或个人。一般采取社会调查的方式。</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10</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rFonts w:hint="eastAsia"/>
                <w:color w:val="auto"/>
              </w:rPr>
              <w:t>10</w:t>
            </w:r>
          </w:p>
        </w:tc>
      </w:tr>
      <w:tr>
        <w:tblPrEx>
          <w:tblCellMar>
            <w:top w:w="0" w:type="dxa"/>
            <w:left w:w="108" w:type="dxa"/>
            <w:bottom w:w="0" w:type="dxa"/>
            <w:right w:w="108" w:type="dxa"/>
          </w:tblCellMar>
        </w:tblPrEx>
        <w:trPr>
          <w:trHeight w:val="460" w:hRule="atLeast"/>
        </w:trPr>
        <w:tc>
          <w:tcPr>
            <w:tcW w:w="4368" w:type="pct"/>
            <w:gridSpan w:val="5"/>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合计</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100</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rFonts w:hint="eastAsia"/>
                <w:color w:val="auto"/>
              </w:rPr>
              <w:t>100</w:t>
            </w:r>
          </w:p>
        </w:tc>
      </w:tr>
    </w:tbl>
    <w:p>
      <w:pPr>
        <w:ind w:firstLine="640"/>
        <w:rPr>
          <w:color w:val="auto"/>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2502C07-E787-463C-AD17-B637187431A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601060D6-D47E-46F6-8D05-19F4F6936862}"/>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3" w:fontKey="{DBBEA4C6-C99B-41E2-918B-AE8BF7A0ED5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55607C"/>
    <w:rsid w:val="00004A41"/>
    <w:rsid w:val="000348DC"/>
    <w:rsid w:val="000449F7"/>
    <w:rsid w:val="00055BDC"/>
    <w:rsid w:val="00060667"/>
    <w:rsid w:val="000611E4"/>
    <w:rsid w:val="000947D1"/>
    <w:rsid w:val="000A0952"/>
    <w:rsid w:val="000B2381"/>
    <w:rsid w:val="001144B9"/>
    <w:rsid w:val="00124518"/>
    <w:rsid w:val="0016767F"/>
    <w:rsid w:val="00175EE1"/>
    <w:rsid w:val="00191B2B"/>
    <w:rsid w:val="001A2E59"/>
    <w:rsid w:val="001E68A9"/>
    <w:rsid w:val="001F399B"/>
    <w:rsid w:val="002071C8"/>
    <w:rsid w:val="00213EE5"/>
    <w:rsid w:val="00226BE1"/>
    <w:rsid w:val="0028195E"/>
    <w:rsid w:val="00286273"/>
    <w:rsid w:val="002D4048"/>
    <w:rsid w:val="00314E81"/>
    <w:rsid w:val="00345492"/>
    <w:rsid w:val="00346B64"/>
    <w:rsid w:val="0039188D"/>
    <w:rsid w:val="003D7562"/>
    <w:rsid w:val="00410175"/>
    <w:rsid w:val="00415424"/>
    <w:rsid w:val="0046454C"/>
    <w:rsid w:val="004720E4"/>
    <w:rsid w:val="0048209D"/>
    <w:rsid w:val="004C4B92"/>
    <w:rsid w:val="004D51B2"/>
    <w:rsid w:val="004E1243"/>
    <w:rsid w:val="004E7DF7"/>
    <w:rsid w:val="004F73B1"/>
    <w:rsid w:val="0051467D"/>
    <w:rsid w:val="00515E7D"/>
    <w:rsid w:val="00540A1E"/>
    <w:rsid w:val="00550F8E"/>
    <w:rsid w:val="005512D1"/>
    <w:rsid w:val="00554F57"/>
    <w:rsid w:val="005554BD"/>
    <w:rsid w:val="0055607C"/>
    <w:rsid w:val="00571D72"/>
    <w:rsid w:val="005730A0"/>
    <w:rsid w:val="005A6F3B"/>
    <w:rsid w:val="005C29C5"/>
    <w:rsid w:val="005C7035"/>
    <w:rsid w:val="00602228"/>
    <w:rsid w:val="0062286C"/>
    <w:rsid w:val="0062723C"/>
    <w:rsid w:val="00686AA3"/>
    <w:rsid w:val="006A2D78"/>
    <w:rsid w:val="006C65BA"/>
    <w:rsid w:val="006F40CE"/>
    <w:rsid w:val="0079140F"/>
    <w:rsid w:val="007C5EE5"/>
    <w:rsid w:val="00813321"/>
    <w:rsid w:val="00813D9F"/>
    <w:rsid w:val="00851942"/>
    <w:rsid w:val="00861118"/>
    <w:rsid w:val="00870F32"/>
    <w:rsid w:val="00902AAE"/>
    <w:rsid w:val="00922570"/>
    <w:rsid w:val="00966991"/>
    <w:rsid w:val="00970CC9"/>
    <w:rsid w:val="0098249A"/>
    <w:rsid w:val="009834FF"/>
    <w:rsid w:val="00994901"/>
    <w:rsid w:val="009D3696"/>
    <w:rsid w:val="00A15D3A"/>
    <w:rsid w:val="00A22F3B"/>
    <w:rsid w:val="00A25D71"/>
    <w:rsid w:val="00A47B7A"/>
    <w:rsid w:val="00A6185E"/>
    <w:rsid w:val="00A725AF"/>
    <w:rsid w:val="00A762DA"/>
    <w:rsid w:val="00A83C01"/>
    <w:rsid w:val="00AA01D2"/>
    <w:rsid w:val="00AA4A54"/>
    <w:rsid w:val="00AA7227"/>
    <w:rsid w:val="00AA723D"/>
    <w:rsid w:val="00AD1679"/>
    <w:rsid w:val="00B049E0"/>
    <w:rsid w:val="00B05394"/>
    <w:rsid w:val="00B120CB"/>
    <w:rsid w:val="00B22074"/>
    <w:rsid w:val="00B42303"/>
    <w:rsid w:val="00B423D0"/>
    <w:rsid w:val="00B722B8"/>
    <w:rsid w:val="00B76F6C"/>
    <w:rsid w:val="00B822E2"/>
    <w:rsid w:val="00B92E9D"/>
    <w:rsid w:val="00BC3A59"/>
    <w:rsid w:val="00BE59E0"/>
    <w:rsid w:val="00BE6CCC"/>
    <w:rsid w:val="00C01C00"/>
    <w:rsid w:val="00C05D07"/>
    <w:rsid w:val="00C14165"/>
    <w:rsid w:val="00C36056"/>
    <w:rsid w:val="00C619F0"/>
    <w:rsid w:val="00CA7138"/>
    <w:rsid w:val="00CC2307"/>
    <w:rsid w:val="00CC652E"/>
    <w:rsid w:val="00CD3409"/>
    <w:rsid w:val="00CE43AD"/>
    <w:rsid w:val="00D22B5F"/>
    <w:rsid w:val="00D24FF5"/>
    <w:rsid w:val="00D32557"/>
    <w:rsid w:val="00D43E32"/>
    <w:rsid w:val="00D56A00"/>
    <w:rsid w:val="00D60FB5"/>
    <w:rsid w:val="00D72542"/>
    <w:rsid w:val="00D75372"/>
    <w:rsid w:val="00DA534A"/>
    <w:rsid w:val="00DC6A68"/>
    <w:rsid w:val="00DD2019"/>
    <w:rsid w:val="00DF0F32"/>
    <w:rsid w:val="00E12FCD"/>
    <w:rsid w:val="00E61A26"/>
    <w:rsid w:val="00F05AE2"/>
    <w:rsid w:val="00F070CA"/>
    <w:rsid w:val="00F26083"/>
    <w:rsid w:val="00F4288E"/>
    <w:rsid w:val="00F53D1D"/>
    <w:rsid w:val="00F65612"/>
    <w:rsid w:val="00F72E2D"/>
    <w:rsid w:val="00FA14B6"/>
    <w:rsid w:val="00FB1332"/>
    <w:rsid w:val="00FC61AF"/>
    <w:rsid w:val="00FD1006"/>
    <w:rsid w:val="00FF1FCF"/>
    <w:rsid w:val="04B83EBA"/>
    <w:rsid w:val="0A0073E7"/>
    <w:rsid w:val="0C5469CB"/>
    <w:rsid w:val="0C7D249E"/>
    <w:rsid w:val="0CC854B7"/>
    <w:rsid w:val="0CFC50E7"/>
    <w:rsid w:val="14BE5A22"/>
    <w:rsid w:val="16F541C7"/>
    <w:rsid w:val="180579A0"/>
    <w:rsid w:val="1AFC58EB"/>
    <w:rsid w:val="1B056B32"/>
    <w:rsid w:val="1D867D27"/>
    <w:rsid w:val="20DF3CB6"/>
    <w:rsid w:val="22002F1A"/>
    <w:rsid w:val="2217066C"/>
    <w:rsid w:val="229D30B0"/>
    <w:rsid w:val="24F84ABC"/>
    <w:rsid w:val="258A4700"/>
    <w:rsid w:val="28CE74FD"/>
    <w:rsid w:val="2ADB64CF"/>
    <w:rsid w:val="2D170966"/>
    <w:rsid w:val="2DC55C6C"/>
    <w:rsid w:val="309171FA"/>
    <w:rsid w:val="32B4641F"/>
    <w:rsid w:val="344C0265"/>
    <w:rsid w:val="34C31CC8"/>
    <w:rsid w:val="35B70054"/>
    <w:rsid w:val="375F795E"/>
    <w:rsid w:val="391F1A12"/>
    <w:rsid w:val="392C744A"/>
    <w:rsid w:val="397B3E04"/>
    <w:rsid w:val="39AC74F9"/>
    <w:rsid w:val="3A0168D3"/>
    <w:rsid w:val="3A0363AB"/>
    <w:rsid w:val="3A57603B"/>
    <w:rsid w:val="3B457B92"/>
    <w:rsid w:val="3FD249E5"/>
    <w:rsid w:val="411C2CD3"/>
    <w:rsid w:val="419E5AFB"/>
    <w:rsid w:val="41EC0D67"/>
    <w:rsid w:val="45297C62"/>
    <w:rsid w:val="469D4A12"/>
    <w:rsid w:val="491A0401"/>
    <w:rsid w:val="4A931CAD"/>
    <w:rsid w:val="4BFC3821"/>
    <w:rsid w:val="4C0D65C5"/>
    <w:rsid w:val="4FD42264"/>
    <w:rsid w:val="50B00C42"/>
    <w:rsid w:val="564448B6"/>
    <w:rsid w:val="56D45B12"/>
    <w:rsid w:val="5A98522A"/>
    <w:rsid w:val="5BBB4441"/>
    <w:rsid w:val="5C3274F4"/>
    <w:rsid w:val="5D0F0D72"/>
    <w:rsid w:val="5E4E357A"/>
    <w:rsid w:val="5E68756F"/>
    <w:rsid w:val="608A66C5"/>
    <w:rsid w:val="618B4BBA"/>
    <w:rsid w:val="6305667A"/>
    <w:rsid w:val="643E2A9B"/>
    <w:rsid w:val="65310993"/>
    <w:rsid w:val="656C651C"/>
    <w:rsid w:val="67F558AE"/>
    <w:rsid w:val="69937072"/>
    <w:rsid w:val="69F410BB"/>
    <w:rsid w:val="6AE87029"/>
    <w:rsid w:val="6BA3165E"/>
    <w:rsid w:val="72A37968"/>
    <w:rsid w:val="72D05C96"/>
    <w:rsid w:val="74135864"/>
    <w:rsid w:val="7480197B"/>
    <w:rsid w:val="7633478D"/>
    <w:rsid w:val="77683CFD"/>
    <w:rsid w:val="7C4B7316"/>
    <w:rsid w:val="7C9A1C94"/>
    <w:rsid w:val="7DF460B4"/>
    <w:rsid w:val="7F86039A"/>
    <w:rsid w:val="7FDE0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link w:val="18"/>
    <w:qFormat/>
    <w:uiPriority w:val="9"/>
    <w:pPr>
      <w:keepNext/>
      <w:keepLines/>
      <w:ind w:firstLine="0" w:firstLineChars="0"/>
      <w:jc w:val="center"/>
      <w:outlineLvl w:val="0"/>
    </w:pPr>
    <w:rPr>
      <w:rFonts w:eastAsia="方正小标宋_GBK"/>
      <w:kern w:val="44"/>
      <w:sz w:val="36"/>
    </w:rPr>
  </w:style>
  <w:style w:type="paragraph" w:styleId="4">
    <w:name w:val="heading 2"/>
    <w:basedOn w:val="1"/>
    <w:next w:val="1"/>
    <w:link w:val="16"/>
    <w:qFormat/>
    <w:uiPriority w:val="99"/>
    <w:pPr>
      <w:keepNext/>
      <w:outlineLvl w:val="1"/>
    </w:pPr>
    <w:rPr>
      <w:rFonts w:eastAsia="黑体" w:cs="Times New Roman"/>
      <w:bCs/>
      <w:iCs/>
      <w:szCs w:val="21"/>
    </w:rPr>
  </w:style>
  <w:style w:type="paragraph" w:styleId="2">
    <w:name w:val="heading 3"/>
    <w:basedOn w:val="1"/>
    <w:next w:val="1"/>
    <w:link w:val="17"/>
    <w:unhideWhenUsed/>
    <w:qFormat/>
    <w:uiPriority w:val="9"/>
    <w:pPr>
      <w:keepNext/>
      <w:keepLines/>
      <w:outlineLvl w:val="2"/>
    </w:pPr>
    <w:rPr>
      <w:rFonts w:eastAsia="楷体_GB2312"/>
      <w:b/>
    </w:rPr>
  </w:style>
  <w:style w:type="paragraph" w:styleId="5">
    <w:name w:val="heading 4"/>
    <w:basedOn w:val="1"/>
    <w:next w:val="1"/>
    <w:unhideWhenUsed/>
    <w:qFormat/>
    <w:uiPriority w:val="9"/>
    <w:pPr>
      <w:keepNext/>
      <w:keepLines/>
      <w:spacing w:line="372" w:lineRule="auto"/>
      <w:outlineLvl w:val="3"/>
    </w:pPr>
    <w:rPr>
      <w:rFonts w:ascii="Arial" w:hAnsi="Arial" w:eastAsia="黑体"/>
      <w:b/>
      <w:sz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semiHidden/>
    <w:unhideWhenUsed/>
    <w:qFormat/>
    <w:uiPriority w:val="99"/>
    <w:pPr>
      <w:jc w:val="left"/>
    </w:pPr>
  </w:style>
  <w:style w:type="paragraph" w:styleId="7">
    <w:name w:val="footer"/>
    <w:basedOn w:val="1"/>
    <w:link w:val="14"/>
    <w:semiHidden/>
    <w:unhideWhenUsed/>
    <w:qFormat/>
    <w:uiPriority w:val="99"/>
    <w:pPr>
      <w:tabs>
        <w:tab w:val="center" w:pos="4153"/>
        <w:tab w:val="right" w:pos="8306"/>
      </w:tabs>
      <w:snapToGrid w:val="0"/>
      <w:jc w:val="left"/>
    </w:pPr>
    <w:rPr>
      <w:sz w:val="18"/>
    </w:rPr>
  </w:style>
  <w:style w:type="paragraph" w:styleId="8">
    <w:name w:val="header"/>
    <w:basedOn w:val="1"/>
    <w:link w:val="15"/>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2">
    <w:name w:val="表格标题"/>
    <w:basedOn w:val="1"/>
    <w:next w:val="1"/>
    <w:qFormat/>
    <w:uiPriority w:val="0"/>
    <w:pPr>
      <w:keepNext/>
      <w:keepLines/>
      <w:ind w:firstLine="0" w:firstLineChars="0"/>
      <w:jc w:val="center"/>
      <w:outlineLvl w:val="0"/>
    </w:pPr>
    <w:rPr>
      <w:rFonts w:hint="eastAsia"/>
      <w:b/>
      <w:kern w:val="44"/>
    </w:rPr>
  </w:style>
  <w:style w:type="paragraph" w:customStyle="1" w:styleId="13">
    <w:name w:val="表格内容"/>
    <w:basedOn w:val="1"/>
    <w:next w:val="1"/>
    <w:qFormat/>
    <w:uiPriority w:val="0"/>
    <w:pPr>
      <w:keepNext/>
      <w:keepLines/>
      <w:spacing w:line="240" w:lineRule="auto"/>
      <w:ind w:firstLine="0" w:firstLineChars="0"/>
      <w:jc w:val="center"/>
      <w:outlineLvl w:val="0"/>
    </w:pPr>
    <w:rPr>
      <w:rFonts w:hint="eastAsia"/>
      <w:kern w:val="44"/>
      <w:sz w:val="21"/>
    </w:rPr>
  </w:style>
  <w:style w:type="character" w:customStyle="1" w:styleId="14">
    <w:name w:val="页脚 字符"/>
    <w:basedOn w:val="11"/>
    <w:link w:val="7"/>
    <w:semiHidden/>
    <w:qFormat/>
    <w:uiPriority w:val="99"/>
    <w:rPr>
      <w:rFonts w:eastAsia="仿宋_GB2312" w:cstheme="minorBidi"/>
      <w:kern w:val="2"/>
      <w:sz w:val="18"/>
      <w:szCs w:val="22"/>
    </w:rPr>
  </w:style>
  <w:style w:type="character" w:customStyle="1" w:styleId="15">
    <w:name w:val="页眉 字符"/>
    <w:basedOn w:val="11"/>
    <w:link w:val="8"/>
    <w:qFormat/>
    <w:uiPriority w:val="99"/>
    <w:rPr>
      <w:rFonts w:eastAsia="仿宋_GB2312" w:cstheme="minorBidi"/>
      <w:kern w:val="2"/>
      <w:sz w:val="18"/>
      <w:szCs w:val="22"/>
    </w:rPr>
  </w:style>
  <w:style w:type="character" w:customStyle="1" w:styleId="16">
    <w:name w:val="标题 2 字符"/>
    <w:basedOn w:val="11"/>
    <w:link w:val="4"/>
    <w:qFormat/>
    <w:uiPriority w:val="99"/>
    <w:rPr>
      <w:rFonts w:eastAsia="黑体"/>
      <w:bCs/>
      <w:iCs/>
      <w:kern w:val="2"/>
      <w:sz w:val="32"/>
      <w:szCs w:val="21"/>
    </w:rPr>
  </w:style>
  <w:style w:type="character" w:customStyle="1" w:styleId="17">
    <w:name w:val="标题 3 字符"/>
    <w:link w:val="2"/>
    <w:qFormat/>
    <w:uiPriority w:val="9"/>
    <w:rPr>
      <w:rFonts w:eastAsia="楷体_GB2312" w:cstheme="minorBidi"/>
      <w:b/>
      <w:kern w:val="2"/>
      <w:sz w:val="32"/>
      <w:szCs w:val="22"/>
    </w:rPr>
  </w:style>
  <w:style w:type="character" w:customStyle="1" w:styleId="18">
    <w:name w:val="标题 1 字符"/>
    <w:basedOn w:val="11"/>
    <w:link w:val="3"/>
    <w:qFormat/>
    <w:uiPriority w:val="9"/>
    <w:rPr>
      <w:rFonts w:eastAsia="方正小标宋_GBK" w:cstheme="minorBidi"/>
      <w:kern w:val="44"/>
      <w:sz w:val="36"/>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17F14B-631F-41B2-B6AC-0DB1478980A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23</Pages>
  <Words>11090</Words>
  <Characters>11567</Characters>
  <Lines>98</Lines>
  <Paragraphs>27</Paragraphs>
  <TotalTime>0</TotalTime>
  <ScaleCrop>false</ScaleCrop>
  <LinksUpToDate>false</LinksUpToDate>
  <CharactersWithSpaces>11589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2020-05-25T09:48:00Z</dcterms:created>
  <dc:creator>Administrator</dc:creator>
  <cp:lastModifiedBy>Administrator</cp:lastModifiedBy>
  <dcterms:modified xsi:type="dcterms:W3CDTF">2024-08-15T03:57:59Z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E93C5DDCCCD64E24A6C88F9A03B22A20_13</vt:lpwstr>
  </property>
</Properties>
</file>