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3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92"/>
        <w:gridCol w:w="1695"/>
        <w:gridCol w:w="509"/>
        <w:gridCol w:w="1186"/>
        <w:gridCol w:w="329"/>
        <w:gridCol w:w="330"/>
        <w:gridCol w:w="1961"/>
        <w:gridCol w:w="253"/>
        <w:gridCol w:w="1154"/>
        <w:gridCol w:w="2182"/>
        <w:gridCol w:w="253"/>
        <w:gridCol w:w="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整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情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新疆维吾尔自治区巴音郭楞蒙古自治州尉犁县医疗保障局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离休人员医疗费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项目资金（元）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616693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616693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99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根据县会议纪要《离休人员医疗费管理有关规定》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报销标准　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在巴州人民医院、巴州天山红十字医院医疗费用符合报销规定内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医疗费报销及时率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报销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人员人数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医疗费报销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人数参保覆盖率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财政对离休人员医疗费报销</w:t>
            </w:r>
            <w:r>
              <w:rPr>
                <w:rFonts w:hint="eastAsia" w:ascii="宋体"/>
                <w:kern w:val="0"/>
                <w:sz w:val="18"/>
                <w:szCs w:val="18"/>
              </w:rPr>
              <w:t>率</w:t>
            </w:r>
            <w:bookmarkEnd w:id="0"/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政策宣传普及执行率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参保人员生活水平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稳定提升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参保人员满意度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outlineLvl w:val="1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整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情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新疆维吾尔自治区巴音郭楞蒙古自治州尉犁县医疗保障局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特困企业退休人员医疗保险财政负担部分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项目资金（元）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216109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216109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99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根据县改制办会议纪要精神，财政需对</w:t>
            </w:r>
            <w:r>
              <w:rPr>
                <w:rFonts w:hint="eastAsia" w:ascii="宋体"/>
                <w:kern w:val="0"/>
                <w:sz w:val="18"/>
                <w:szCs w:val="18"/>
              </w:rPr>
              <w:t>特困企业退休人员医疗保险进行补助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补助标准　　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岁以上以实际退休工资为缴费基数，</w:t>
            </w:r>
            <w:r>
              <w:rPr>
                <w:rFonts w:ascii="宋体"/>
                <w:kern w:val="0"/>
                <w:sz w:val="18"/>
                <w:szCs w:val="18"/>
              </w:rPr>
              <w:t>72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岁以下单位承担</w:t>
            </w:r>
            <w:r>
              <w:rPr>
                <w:rFonts w:ascii="宋体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元，其余由县财政策承担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医疗费补助及时率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医疗费补助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人员人数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医疗费补助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人数参保覆盖率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财政对</w:t>
            </w:r>
            <w:r>
              <w:rPr>
                <w:rFonts w:hint="eastAsia" w:ascii="宋体"/>
                <w:kern w:val="0"/>
                <w:sz w:val="18"/>
                <w:szCs w:val="18"/>
              </w:rPr>
              <w:t>特困企业退休人员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医疗费补助</w:t>
            </w:r>
            <w:r>
              <w:rPr>
                <w:rFonts w:hint="eastAsia" w:ascii="宋体"/>
                <w:kern w:val="0"/>
                <w:sz w:val="18"/>
                <w:szCs w:val="18"/>
              </w:rPr>
              <w:t>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政策宣传普及执行率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参保人员生活水平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稳定提升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参保人员满意度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整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情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新疆维吾尔自治区巴音郭楞蒙古自治州尉犁县医疗保障局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年城北“村改居”城乡居民基本医疗保险财政补助资金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项目资金（元）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435000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435000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99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根据尉政办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号《关于印发尉犁县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年城北“村改居”居民养老、医疗补助办法的通知》文件，对“村改居”人员进行医疗补助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补助标准　　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290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元</w:t>
            </w:r>
            <w:r>
              <w:rPr>
                <w:rFonts w:asci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人</w:t>
            </w:r>
            <w:r>
              <w:rPr>
                <w:rFonts w:asci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发放医疗补助及时率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医疗补助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城乡居民医疗人数参保覆盖率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医疗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保险补助</w:t>
            </w:r>
            <w:r>
              <w:rPr>
                <w:rFonts w:hint="eastAsia" w:ascii="宋体"/>
                <w:kern w:val="0"/>
                <w:sz w:val="18"/>
                <w:szCs w:val="18"/>
              </w:rPr>
              <w:t>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政策宣传普及执行率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参保人员生活水平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稳定提升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参保人员满意度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整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情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新疆维吾尔自治区巴音郭楞蒙古自治州尉犁县医疗保障局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城乡居民基本医疗保险县级配套资金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项目资金（元）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10042296.00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10042296.00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999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县级财政对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年城乡居民医疗保险参保人员的配套补助资金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个人缴费补贴标准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参保居民个人缴费标准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当年财政补助资金到位率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bookmarkStart w:id="1" w:name="_GoBack"/>
            <w:bookmarkEnd w:id="1"/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缴费人数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城乡居民参保覆盖率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政策宣传普及执行率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减轻参保人员就医经济负担，缓解社会矛盾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全年持续实施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6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参保人员满意度</w:t>
            </w:r>
          </w:p>
        </w:tc>
        <w:tc>
          <w:tcPr>
            <w:tcW w:w="38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  <w:tbl>
            <w:tblPr>
              <w:tblStyle w:val="7"/>
              <w:tblW w:w="1381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9"/>
              <w:gridCol w:w="1835"/>
              <w:gridCol w:w="1645"/>
              <w:gridCol w:w="493"/>
              <w:gridCol w:w="1152"/>
              <w:gridCol w:w="319"/>
              <w:gridCol w:w="319"/>
              <w:gridCol w:w="1902"/>
              <w:gridCol w:w="247"/>
              <w:gridCol w:w="1117"/>
              <w:gridCol w:w="2120"/>
              <w:gridCol w:w="246"/>
              <w:gridCol w:w="246"/>
            </w:tblGrid>
            <w:tr>
              <w:trPr>
                <w:trHeight w:val="685" w:hRule="atLeast"/>
              </w:trPr>
              <w:tc>
                <w:tcPr>
                  <w:tcW w:w="13810" w:type="dxa"/>
                  <w:gridSpan w:val="13"/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项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绩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效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目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标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调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整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情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况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32"/>
                      <w:szCs w:val="32"/>
                    </w:rPr>
                    <w:t>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2169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35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45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45" w:type="dxa"/>
                  <w:gridSpan w:val="2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9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02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7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7" w:type="dxa"/>
                  <w:gridSpan w:val="2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>
                  <w:pPr>
                    <w:widowControl/>
                    <w:jc w:val="left"/>
                    <w:rPr>
                      <w:rFonts w:ascii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21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763" w:type="dxa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新疆维吾尔自治区巴音郭楞蒙古自治州尉犁县医疗保障局</w:t>
                  </w:r>
                </w:p>
              </w:tc>
              <w:tc>
                <w:tcPr>
                  <w:tcW w:w="1902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3976" w:type="dxa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中央财政医疗救助资金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1" w:hRule="atLeast"/>
              </w:trPr>
              <w:tc>
                <w:tcPr>
                  <w:tcW w:w="216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项目资金（元）</w:t>
                  </w:r>
                </w:p>
              </w:tc>
              <w:tc>
                <w:tcPr>
                  <w:tcW w:w="183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138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80000.00</w:t>
                  </w:r>
                </w:p>
              </w:tc>
              <w:tc>
                <w:tcPr>
                  <w:tcW w:w="1790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902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80000.00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612" w:type="dxa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rPr>
                <w:trHeight w:val="677" w:hRule="atLeast"/>
              </w:trPr>
              <w:tc>
                <w:tcPr>
                  <w:tcW w:w="2169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641" w:type="dxa"/>
                  <w:gridSpan w:val="12"/>
                  <w:tcBorders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中央财政对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2018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年医疗救助人员的补助资金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2169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835" w:type="dxa"/>
                  <w:tcBorders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6" w:hRule="atLeast"/>
              </w:trPr>
              <w:tc>
                <w:tcPr>
                  <w:tcW w:w="2169" w:type="dxa"/>
                  <w:vMerge w:val="restart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vMerge w:val="restart"/>
                  <w:tcBorders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医疗救助重点救助对象自负费用年度限额内住院救助比例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70%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216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/>
                      <w:kern w:val="0"/>
                      <w:sz w:val="18"/>
                      <w:szCs w:val="18"/>
                    </w:rPr>
                    <w:t>一站式</w:t>
                  </w:r>
                  <w:r>
                    <w:rPr>
                      <w:rFonts w:hint="eastAsia" w:ascii="宋体"/>
                      <w:kern w:val="0"/>
                      <w:sz w:val="18"/>
                      <w:szCs w:val="18"/>
                      <w:lang w:val="en-US" w:eastAsia="zh-CN"/>
                    </w:rPr>
                    <w:t>即时</w:t>
                  </w:r>
                  <w:r>
                    <w:rPr>
                      <w:rFonts w:hint="eastAsia" w:ascii="宋体"/>
                      <w:kern w:val="0"/>
                      <w:sz w:val="18"/>
                      <w:szCs w:val="18"/>
                    </w:rPr>
                    <w:t>结算覆盖地区比例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家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216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重特大疾病医疗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救助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人次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203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人次</w:t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W w:w="2169" w:type="dxa"/>
                  <w:vMerge w:val="restart"/>
                  <w:tcBorders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83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cs="宋体"/>
                      <w:kern w:val="0"/>
                      <w:sz w:val="18"/>
                      <w:szCs w:val="18"/>
                    </w:rPr>
                    <w:t>对健全社会救助体系的影响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/>
                      <w:kern w:val="0"/>
                      <w:sz w:val="18"/>
                      <w:szCs w:val="18"/>
                    </w:rPr>
                    <w:t>成效明显</w:t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W w:w="2169" w:type="dxa"/>
                  <w:vMerge w:val="continue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vMerge w:val="restart"/>
                  <w:tcBorders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减轻参保人员就医经济负担，缓解社会矛盾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全年持续实施</w:t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W w:w="2169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困难群众看病就医方便程度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明显提高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2169" w:type="dxa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835" w:type="dxa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参保人员满意度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≥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90%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2169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077" w:type="dxa"/>
                  <w:gridSpan w:val="7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政策宣传普及执行率</w:t>
                  </w:r>
                </w:p>
              </w:tc>
              <w:tc>
                <w:tcPr>
                  <w:tcW w:w="3729" w:type="dxa"/>
                  <w:gridSpan w:val="4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90%</w:t>
                  </w:r>
                </w:p>
              </w:tc>
            </w:tr>
          </w:tbl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E6D70"/>
    <w:rsid w:val="001078B0"/>
    <w:rsid w:val="001572F2"/>
    <w:rsid w:val="00194A2A"/>
    <w:rsid w:val="0023522E"/>
    <w:rsid w:val="002425AD"/>
    <w:rsid w:val="002A00C6"/>
    <w:rsid w:val="002A53A3"/>
    <w:rsid w:val="002A6EA6"/>
    <w:rsid w:val="002B5144"/>
    <w:rsid w:val="002C1114"/>
    <w:rsid w:val="002C1406"/>
    <w:rsid w:val="002C2E1A"/>
    <w:rsid w:val="00305D05"/>
    <w:rsid w:val="00320916"/>
    <w:rsid w:val="00325B17"/>
    <w:rsid w:val="0035290E"/>
    <w:rsid w:val="00360F66"/>
    <w:rsid w:val="00385F76"/>
    <w:rsid w:val="004003C7"/>
    <w:rsid w:val="00407C14"/>
    <w:rsid w:val="004706E5"/>
    <w:rsid w:val="00477B12"/>
    <w:rsid w:val="00481BBF"/>
    <w:rsid w:val="004B4B6F"/>
    <w:rsid w:val="004C2BFA"/>
    <w:rsid w:val="004F0083"/>
    <w:rsid w:val="00507030"/>
    <w:rsid w:val="00531421"/>
    <w:rsid w:val="00590B6E"/>
    <w:rsid w:val="00594D2A"/>
    <w:rsid w:val="0059595F"/>
    <w:rsid w:val="00641C51"/>
    <w:rsid w:val="00643145"/>
    <w:rsid w:val="0069140B"/>
    <w:rsid w:val="006B04D6"/>
    <w:rsid w:val="006B4806"/>
    <w:rsid w:val="006D1147"/>
    <w:rsid w:val="007248FC"/>
    <w:rsid w:val="00731B7D"/>
    <w:rsid w:val="007631EF"/>
    <w:rsid w:val="007A0134"/>
    <w:rsid w:val="007C56A0"/>
    <w:rsid w:val="00841655"/>
    <w:rsid w:val="00843A52"/>
    <w:rsid w:val="00896A06"/>
    <w:rsid w:val="008C2C06"/>
    <w:rsid w:val="008C5981"/>
    <w:rsid w:val="008D456B"/>
    <w:rsid w:val="008E033F"/>
    <w:rsid w:val="00990F55"/>
    <w:rsid w:val="00994DEE"/>
    <w:rsid w:val="009A4CB8"/>
    <w:rsid w:val="009F5F95"/>
    <w:rsid w:val="00A07C22"/>
    <w:rsid w:val="00A43256"/>
    <w:rsid w:val="00AA6520"/>
    <w:rsid w:val="00AC20B8"/>
    <w:rsid w:val="00AC7C54"/>
    <w:rsid w:val="00B0485A"/>
    <w:rsid w:val="00B14737"/>
    <w:rsid w:val="00B14854"/>
    <w:rsid w:val="00B74DB1"/>
    <w:rsid w:val="00BB7020"/>
    <w:rsid w:val="00BC62CB"/>
    <w:rsid w:val="00BD3F96"/>
    <w:rsid w:val="00BF26C7"/>
    <w:rsid w:val="00C320C8"/>
    <w:rsid w:val="00CB67B7"/>
    <w:rsid w:val="00D74FCD"/>
    <w:rsid w:val="00D7734A"/>
    <w:rsid w:val="00DA6C62"/>
    <w:rsid w:val="00DC1D09"/>
    <w:rsid w:val="00E62438"/>
    <w:rsid w:val="00E973D0"/>
    <w:rsid w:val="00ED3796"/>
    <w:rsid w:val="00EF7556"/>
    <w:rsid w:val="00F371B2"/>
    <w:rsid w:val="00F457EC"/>
    <w:rsid w:val="00FC6ABD"/>
    <w:rsid w:val="034D2165"/>
    <w:rsid w:val="110F5C0A"/>
    <w:rsid w:val="139C7DE9"/>
    <w:rsid w:val="1C594ADA"/>
    <w:rsid w:val="1C754680"/>
    <w:rsid w:val="4E7543F1"/>
    <w:rsid w:val="58740B8A"/>
    <w:rsid w:val="5ACE1C70"/>
    <w:rsid w:val="5AE81410"/>
    <w:rsid w:val="5D245F89"/>
    <w:rsid w:val="6A131CBB"/>
    <w:rsid w:val="72163E38"/>
    <w:rsid w:val="7C1247F5"/>
    <w:rsid w:val="7E7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szCs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Balloon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9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4">
    <w:name w:val="Header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Body Text Indent 3 Char"/>
    <w:basedOn w:val="9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customStyle="1" w:styleId="1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8">
    <w:name w:val="普通(网站)1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332</Words>
  <Characters>1899</Characters>
  <Lines>0</Lines>
  <Paragraphs>0</Paragraphs>
  <TotalTime>106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爱睡觉的小©</cp:lastModifiedBy>
  <dcterms:modified xsi:type="dcterms:W3CDTF">2021-05-18T12:56:53Z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EDC4446F71814B5EB6CEE017591155DB</vt:lpwstr>
  </property>
</Properties>
</file>