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Cs/>
          <w:sz w:val="40"/>
          <w:szCs w:val="40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sz w:val="40"/>
          <w:szCs w:val="40"/>
        </w:rPr>
        <w:t>关于2019年尉犁县</w:t>
      </w:r>
    </w:p>
    <w:p>
      <w:pPr>
        <w:jc w:val="center"/>
        <w:rPr>
          <w:rFonts w:hint="eastAsia" w:ascii="方正黑体_GBK" w:hAnsi="方正黑体_GBK" w:eastAsia="方正黑体_GBK" w:cs="方正黑体_GBK"/>
          <w:bCs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bCs/>
          <w:sz w:val="40"/>
          <w:szCs w:val="40"/>
        </w:rPr>
        <w:t>一般公共预算“三公”经费执行情况说明</w:t>
      </w:r>
    </w:p>
    <w:bookmarkEnd w:id="0"/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spacing w:line="584" w:lineRule="exact"/>
        <w:ind w:firstLine="620" w:firstLineChars="200"/>
        <w:rPr>
          <w:rFonts w:hint="eastAsia" w:ascii="宋体" w:hAnsi="宋体" w:eastAsia="方正仿宋_GBK"/>
          <w:color w:val="000000"/>
          <w:sz w:val="31"/>
          <w:szCs w:val="31"/>
        </w:rPr>
      </w:pPr>
      <w:r>
        <w:rPr>
          <w:rFonts w:hint="eastAsia" w:ascii="宋体" w:hAnsi="宋体" w:eastAsia="方正仿宋_GBK"/>
          <w:color w:val="000000"/>
          <w:sz w:val="31"/>
          <w:szCs w:val="31"/>
        </w:rPr>
        <w:t>根据《中华人民共和国预算法》、自治区财政厅《关于推进自治区预决算公开工作的通知》，尉犁县政府一般公共预算“三公”经费执行情况公开如下：</w:t>
      </w:r>
    </w:p>
    <w:p>
      <w:pPr>
        <w:spacing w:line="584" w:lineRule="exact"/>
        <w:ind w:firstLine="620" w:firstLineChars="200"/>
        <w:rPr>
          <w:rFonts w:hint="eastAsia" w:ascii="宋体" w:hAnsi="宋体" w:eastAsia="方正黑体_GBK" w:cs="方正黑体_GBK"/>
          <w:color w:val="000000"/>
          <w:sz w:val="31"/>
          <w:szCs w:val="31"/>
        </w:rPr>
      </w:pPr>
      <w:r>
        <w:rPr>
          <w:rFonts w:hint="eastAsia" w:ascii="宋体" w:hAnsi="宋体" w:eastAsia="方正黑体_GBK" w:cs="方正黑体_GBK"/>
          <w:color w:val="000000"/>
          <w:sz w:val="31"/>
          <w:szCs w:val="31"/>
        </w:rPr>
        <w:t>一般公共预算“三公”经费执行情况</w:t>
      </w:r>
    </w:p>
    <w:p>
      <w:pPr>
        <w:spacing w:line="584" w:lineRule="exact"/>
        <w:ind w:firstLine="620" w:firstLineChars="200"/>
        <w:rPr>
          <w:rFonts w:hint="eastAsia" w:ascii="宋体" w:hAnsi="宋体" w:eastAsia="方正仿宋_GBK"/>
          <w:color w:val="000000"/>
          <w:sz w:val="31"/>
          <w:szCs w:val="31"/>
        </w:rPr>
      </w:pPr>
      <w:r>
        <w:rPr>
          <w:rFonts w:hint="eastAsia" w:ascii="宋体" w:hAnsi="宋体" w:eastAsia="方正仿宋_GBK"/>
          <w:color w:val="000000"/>
          <w:sz w:val="31"/>
          <w:szCs w:val="31"/>
        </w:rPr>
        <w:t>2019年，一般公共预算“三公”经费总支出473万元，较上年515万元减少42万元，同比下降8.2%，其中：因公出国（境）费0万元；公务用车购置0万元；公务用车运行维护费427万元，公务用车保有量450辆；公务接待费46万元，国内公务接待批次325个，国内公务接待人次6595人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尉犁县财政局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FAA"/>
    <w:rsid w:val="00037FF1"/>
    <w:rsid w:val="00252897"/>
    <w:rsid w:val="003E3D03"/>
    <w:rsid w:val="00421930"/>
    <w:rsid w:val="006F7E78"/>
    <w:rsid w:val="0087231D"/>
    <w:rsid w:val="00A7566C"/>
    <w:rsid w:val="00D37249"/>
    <w:rsid w:val="00E033B6"/>
    <w:rsid w:val="00E518C1"/>
    <w:rsid w:val="00E8585E"/>
    <w:rsid w:val="00FB0FAA"/>
    <w:rsid w:val="6BB45088"/>
    <w:rsid w:val="71E04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16</TotalTime>
  <ScaleCrop>false</ScaleCrop>
  <LinksUpToDate>false</LinksUpToDate>
  <CharactersWithSpaces>296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预算科</dc:creator>
  <cp:lastModifiedBy>Administrator</cp:lastModifiedBy>
  <dcterms:modified xsi:type="dcterms:W3CDTF">2021-05-20T14:23:31Z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